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Kansas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1D2021"/>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1D2021"/>
                <w:sz w:val="21"/>
                <w:szCs w:val="21"/>
              </w:rPr>
              <w:t xml:space="preserve">the geographic area in which Employee provided services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1D2021"/>
                <w:sz w:val="21"/>
                <w:szCs w:val="21"/>
                <w:highlight w:val="yellow"/>
              </w:rPr>
              <w:t xml:space="preserve">[Description of the business activities that constitute competition with the employer.]</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1D2021"/>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a person or entity that engages in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customers and prospective customers that Employee solicited, produced, or serviced, directly or indirectly, or about whom Employee had confidential business or proprietary information or trade secrets, in the course of Employee's relationship with the customer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Confidential Information, trade secrets, goodwill in its customer, vendor, and business-partner relationships, and, for a professional practice, referral sources, but not Employer's interest in avoiding ordinary competition.</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solicit, recruit, induce, persuade, encourage, direct, or otherwise interfere with, directly or indirectly, a person or entity,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has the meaning given in the Kansas Uniform Trade Secrets Act, K.S.A. 60-3320(4).</w:t>
      </w:r>
    </w:p>
    <w:p>
      <w:pPr>
        <w:pStyle w:val="OABody"/>
        <w:keepNext/>
        <w:numPr>
          <w:ilvl w:val="0"/>
          <w:numId w:val="1"/>
        </w:numPr>
        <w:spacing w:before="320" w:after="120" w:line="340" w:lineRule="auto"/>
        <w:jc w:val="left"/>
      </w:pPr>
      <w:r>
        <w:rPr>
          <w:b/>
          <w:bCs/>
        </w:rPr>
        <w:t xml:space="preserve">Recitals and Protectable Interests</w:t>
      </w:r>
    </w:p>
    <w:p>
      <w:pPr>
        <w:pStyle w:val="OABody"/>
        <w:spacing w:before="0" w:after="120" w:line="340" w:lineRule="auto"/>
        <w:ind w:left="720"/>
      </w:pPr>
      <w:r>
        <w:t xml:space="preserve">Employer and Employee acknowledge that each restrictive covenant in this agreement protects one or more of Employer's Protected Interests and is reasonable in time, territory, and scope. Employer would not provide Employee with access to its Confidential Information, trade secrets, customer goodwill, and referral sources absent the protections in this agreement.</w:t>
      </w:r>
    </w:p>
    <w:p>
      <w:pPr>
        <w:pStyle w:val="OABody"/>
        <w:keepNext/>
        <w:numPr>
          <w:ilvl w:val="0"/>
          <w:numId w:val="1"/>
        </w:numPr>
        <w:spacing w:before="320" w:after="120" w:line="340" w:lineRule="auto"/>
        <w:jc w:val="left"/>
      </w:pPr>
      <w:r>
        <w:rPr>
          <w:b/>
          <w:bCs/>
        </w:rPr>
        <w:t xml:space="preserve">Timing, Consideration, and Employee Acknowledgements</w:t>
      </w:r>
    </w:p>
    <w:p>
      <w:pPr>
        <w:pStyle w:val="OABody"/>
        <w:spacing w:before="0" w:after="120" w:line="340" w:lineRule="auto"/>
        <w:ind w:left="720"/>
      </w:pPr>
      <w:r>
        <w:t xml:space="preserve">In consideration of Employee's employment or continued employment, the parties agree to the terms of this agreement. Employee acknowledges having had the opportunity to consult with independent legal counsel before signing this agreement. Employee acknowledges that the restrictions in this agreement are reasonable and necessary to protect Employer's Protected Interests.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in perpetuity, for as long as the information remains a trade secret. Employee's obligations regarding other Confidential Information, including customer lists, pricing, and confidential know-how, continue for the period specified in Cover Terms. This obligation does not restrict Employee's use of the general knowledge, skill, and experience Employee acquired during employment.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w:t>
      </w:r>
    </w:p>
    <w:p>
      <w:pPr>
        <w:pStyle w:val="OABody"/>
        <w:keepNext/>
        <w:numPr>
          <w:ilvl w:val="0"/>
          <w:numId w:val="1"/>
        </w:numPr>
        <w:spacing w:before="320" w:after="120" w:line="340" w:lineRule="auto"/>
        <w:jc w:val="left"/>
      </w:pPr>
      <w:r>
        <w:rPr>
          <w:b/>
          <w:bCs/>
        </w:rPr>
        <w:t xml:space="preserve">Non-Solicitation of Customers</w:t>
      </w:r>
    </w:p>
    <w:p>
      <w:pPr>
        <w:pStyle w:val="OABody"/>
        <w:spacing w:before="0" w:after="120" w:line="340" w:lineRule="auto"/>
        <w:ind w:left="720"/>
      </w:pPr>
      <w:r>
        <w:t xml:space="preserve">During the Restricted Period, Employee must not Solicit the business of any Covered Customer, including any reduction, termination, acceptance, or transfer of any Covered Customer's business, in whole or in part, for the purpose of providing any product or service that is competitive with those provided by Employer.</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whether Employee or the Covered Customer first initiated contact.</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engage in, be employed by, consult for, or have an active ownership interest in any Competitive Business within the Restricted Territory. If Employer has identified specific competitors in Cover Terms under Specified Competitors, this covenant applies only to those named competitors and their businesses. Passive Public Holdings are permitted.</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 including rights protected under Section 7 of the National Labor Relations Act.</w:t>
      </w:r>
    </w:p>
    <w:p>
      <w:pPr>
        <w:pStyle w:val="OABody"/>
        <w:keepNext/>
        <w:numPr>
          <w:ilvl w:val="0"/>
          <w:numId w:val="1"/>
        </w:numPr>
        <w:spacing w:before="320" w:after="120" w:line="340" w:lineRule="auto"/>
        <w:jc w:val="left"/>
      </w:pPr>
      <w:r>
        <w:rPr>
          <w:b/>
          <w:bCs/>
        </w:rPr>
        <w:t xml:space="preserve">Physician and Health Care Practitioner Covenants</w:t>
      </w:r>
    </w:p>
    <w:p>
      <w:pPr>
        <w:pStyle w:val="OABody"/>
        <w:spacing w:before="0" w:after="120" w:line="340" w:lineRule="auto"/>
        <w:ind w:left="720"/>
      </w:pPr>
      <w:r>
        <w:t xml:space="preserve">If Employee is a physician or other health care practitioner, any covenant in this agreement restraining Employee from the practice of the profession is intended to use a reasonable radius and a reasonable term and to preserve patient access and continuity of care.</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Employee consents to this disclosure.</w:t>
      </w:r>
    </w:p>
    <w:p>
      <w:pPr>
        <w:pStyle w:val="OABody"/>
        <w:keepNext/>
        <w:numPr>
          <w:ilvl w:val="0"/>
          <w:numId w:val="1"/>
        </w:numPr>
        <w:spacing w:before="320" w:after="120" w:line="340" w:lineRule="auto"/>
        <w:jc w:val="left"/>
      </w:pPr>
      <w:r>
        <w:rPr>
          <w:b/>
          <w:bCs/>
        </w:rPr>
        <w:t xml:space="preserve">Restricted Period; No Open-Ended Extension</w:t>
      </w:r>
    </w:p>
    <w:p>
      <w:pPr>
        <w:pStyle w:val="OABody"/>
        <w:spacing w:before="0" w:after="120" w:line="340" w:lineRule="auto"/>
        <w:ind w:left="720"/>
      </w:pPr>
      <w:r>
        <w:t xml:space="preserve">The Restricted Period for each covenant is a defined, fixed term running from the date Employee's employment ends, as specified in Cover Terms. The parties do not intend, and this agreement does not provide for, any extension of the Restricted Period during a breach or during enforcement litigation. Employer's remedy for competition during the Restricted Period is damages and injunctive relief, not added time; the Restricted Period is not extended, tolled, or suspended by any breach or dispute.</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in addition to any other remedies available at law.</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(Kansas)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(Kansas)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(Kansas)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