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Ohio</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and goodwill in its customer, vendor, referral-source, and business-partner relationships.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has the meaning given in the Ohio Uniform Trade Secrets Act, Ohio Rev. Code § 1333.61(D).</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protects Employer's Confidential Information, trade secrets, customer goodwill, and other Protected Interests. Employer would not provide Employee with access to these Protected Interests absent the protections in this agreement. The parties acknowledge that each covenant is reasonable in time, territory, and scope.</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The parties acknowledge that this agreement is supported by adequate consideration. If Employee is an existing at-will employee, Employer's continuation of Employee's at-will employment is exchanged for Employee's assent to the covenants. If this agreement is signed at the outset of employment, the offer and commencement of employment is the consideration. Employee acknowledges having had the opportunity to consult with independent legal counsel before signing this agreement. Employee acknowledges that the restrictions in this agreement are reasonable and appropriate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is intended to operate alongside, and independent of, any restrictive covenant,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reaches only Covered Employees during the Restricted Period and is no broader than necessary to protect Employer's workforce stability and goodwill.</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reaches only Covered Customers with whom Employee had material contact and is no broader than necessary to protect Employer's goodwill in its customer relationships. This covenant is directed at Employer's customer-goodwill interest and operates together with the confidentiality and trade-secret protections in this agreement.</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with whom Employee had material contact, whether Employee or the Covered Customer initiates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If Employer has identified specific competitors in Cover Terms under Specified Competitors, this covenant applies only to those named competitors.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is a physician, any covenant restraining Employee from practicing medicine applies only during the Restricted Period and within the Restricted Territory stated in Cover Terms. No covenant prohibits a patient from choosing a provider or obtaining continuity of care.</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up to the original Restricted Period.</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(Ohio)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(Ohio)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(Ohio)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