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Vermont</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and Trade Secrets and Employer's goodwill in its customer, vendor, referral-source, and business-partner relationships.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protects one or more of Employer's Protected Interests. Employer would not provide Employee with access to these Protected Interests absent the protections in this agreement. Each covenant is limited to the time, territory, and scope stated in this agreement.</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This agreement is supported by Employee's continued employment or, if signed at the outset of employment, Employer's offer of employment. Employee acknowledges having had the opportunity to consult with independent legal counsel before signing this agreement.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is intended to operate alongside, and independent of, any restrictive covenant,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reaches only Covered Employees during the Restricted Period and is no broader than necessary to protect Employer's workforce stability and goodwill.</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reaches only Covered Customers with whom Employee had material contact and is no broader than necessary to protect Employer's goodwill in its customer relationships.</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with whom Employee had material contact, regardless of who initiates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If Specified Competitors are listed in Cover Terms, Competitive Business is limited to those competitors.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No covenant in this agreement restricts a licensed healthcare professional from practicing beyond the Restricted Period or outside the Restricted Territory stated in Cover Terms.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the breach continues. The extension may not exceed the number of days during which the breach continued.</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including any remedy available under applicable trade-secret law for actual or threatened misappropriation of a trade secret.</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 Each covenant's duration is stated in Cover Terms, and no covenant is intended to revive after its stated term has run.</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Employer may assign this agreement to a successor in connection with a sale of its business.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This agreement does not impose a covenant not to compete as a condition of a barbering or cosmetology school's training for licensure, and it does not restrict a lawyer's right to practice after termination of the relationship except as to benefits upon retirement, nor make any restriction on a lawyer's right to practice part of the settlement of a client controversy.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(Vermont)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(Vermont)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(Vermont)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