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Wyoming</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1D2021"/>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1D2021"/>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1D2021"/>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1D2021"/>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a person or entity that engages in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Protected Interests in its Confidential Information, customer and business-partner relationships, workforce stability, and goodwill.</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qualifies as a trade secret under applicable law.</w:t>
      </w:r>
    </w:p>
    <w:p>
      <w:pPr>
        <w:pStyle w:val="OABody"/>
        <w:keepNext/>
        <w:numPr>
          <w:ilvl w:val="0"/>
          <w:numId w:val="1"/>
        </w:numPr>
        <w:spacing w:before="320" w:after="120" w:line="340" w:lineRule="auto"/>
        <w:jc w:val="left"/>
      </w:pPr>
      <w:r>
        <w:rPr>
          <w:b/>
          <w:bCs/>
        </w:rPr>
        <w:t xml:space="preserve">Timing and Employee Acknowledgements</w:t>
      </w:r>
    </w:p>
    <w:p>
      <w:pPr>
        <w:pStyle w:val="OABody"/>
        <w:spacing w:before="0" w:after="120" w:line="340" w:lineRule="auto"/>
        <w:ind w:left="720"/>
      </w:pPr>
      <w:r>
        <w:t xml:space="preserve">Employee acknowledges that the restrictions in this agreement are reasonable and necessary to protect Employer's Protected Interests. Employee acknowledges having had the opportunity to consult with independent legal counsel before signing this agreement.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Trade Secrets Duration specified in Cover Terms, to the extent the information remains a trade secret. Employee's obligations regarding other Confidential Information continue for the Other Confidential Information Duration specified in Cover Terms.</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does not prohibit Employee from accepting or servicing business from a Covered Customer who initiates contact without solicitation by Employee.</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who initiates contact, subject to applicable law.</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subject to applicable law.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subject to applicable law.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w:t>
      </w:r>
    </w:p>
    <w:p>
      <w:pPr>
        <w:pStyle w:val="OABody"/>
        <w:keepNext/>
        <w:numPr>
          <w:ilvl w:val="0"/>
          <w:numId w:val="1"/>
        </w:numPr>
        <w:spacing w:before="320" w:after="120" w:line="340" w:lineRule="auto"/>
        <w:jc w:val="left"/>
      </w:pPr>
      <w:r>
        <w:rPr>
          <w:b/>
          <w:bCs/>
        </w:rPr>
        <w:t xml:space="preserve">Physician-Specific Rights and Notices</w:t>
      </w:r>
    </w:p>
    <w:p>
      <w:pPr>
        <w:pStyle w:val="OABody"/>
        <w:spacing w:before="0" w:after="120" w:line="340" w:lineRule="auto"/>
        <w:ind w:left="720"/>
      </w:pPr>
      <w:r>
        <w:t xml:space="preserve">If Employee is a physician, Employee may notify patients diagnosed with rare disorders of Employee's new practice location without liability under this agreement.</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so that the full duration of the restriction runs from the date the breach ends.</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 If Employer prevails in any action to enforce this agreement, Employee must reimburse Employer's reasonable attorney's fees and costs.</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 Each restrictive covenant in this agreement is intended to be independently enforceable.</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(Wyoming) (v2.0).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(Wyoming) (v2.0).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(Wyoming) (v2.0).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