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120"/>
      </w:pPr>
      <w:r>
        <w:rPr>
          <w:b/>
          <w:sz w:val="48"/>
          <w:szCs w:val="48"/>
        </w:rPr>
        <w:t xml:space="preserve">Hedge Fund Limited Partnership Agreement Reviewer Checklist</w:t>
      </w:r>
    </w:p>
    <w:p>
      <w:pPr>
        <w:spacing w:before="0" w:after="120"/>
      </w:pPr>
      <w:r>
        <w:rPr>
          <w:i/>
          <w:color w:val="444444"/>
        </w:rPr>
        <w:t xml:space="preserve">A clause-by-clause reviewer checklist for a hedge fund limited partnership agreement, a hedge fund here meaning an open-end private investment fund organized as a Delaware limited partnership and relying on Section 3(c)(1), written first for the manager setting the terms and second for a smaller investor signing without counsel, in the order that matters to both: what the manager charges, how and when money can come back out, how capital and gains are accounted for, what the manager may do and when it answers for it, costs and reporting, and how the agreement can be changed or the fund wound up.</w:t>
      </w:r>
    </w:p>
    <w:p>
      <w:pPr>
        <w:spacing w:before="0" w:after="240"/>
      </w:pPr>
      <w:r>
        <w:rPr>
          <w:color w:val="666666"/>
          <w:sz w:val="18"/>
          <w:szCs w:val="18"/>
        </w:rPr>
        <w:t xml:space="preserve">By Steven Obiajulu, J.D. Last reviewed 2026-09-02. License: CC BY 4.0. https://openagreements.org/checklists/fund-formation/hedge-fund-limited-partnership-agreement</w:t>
      </w:r>
    </w:p>
    <w:p>
      <w:pPr>
        <w:spacing w:before="0" w:after="120"/>
      </w:pPr>
      <w:r>
        <w:t xml:space="preserve">This checklist is written first for the manager of an emerging or small hedge fund who is preparing the limited partnership agreement or reviewing counsel's draft, and second for a smaller investor reading the agreement without counsel of their own. A manager uses the items to make each term a deliberate choice that matches the private placement memorandum. An investor uses the same items to find what the manager may charge, change, or withhold, and on what notice.</w:t>
      </w:r>
    </w:p>
    <w:p>
      <w:pPr>
        <w:spacing w:before="0" w:after="120"/>
      </w:pPr>
      <w:r>
        <w:t xml:space="preserve">Every item reads the limited partnership agreement for a fully funded, open-end Delaware limited partnership. It does not cover closed-end drawdown funds, the private placement memorandum, the subscription agreement, or the side letters themselves. The </w:t>
      </w:r>
      <w:r>
        <w:t xml:space="preserve">hedge fund formation practice guide</w:t>
      </w:r>
      <w:r>
        <w:t xml:space="preserve"> and its </w:t>
      </w:r>
      <w:r>
        <w:t xml:space="preserve">limited partnership agreement guide</w:t>
      </w:r>
      <w:r>
        <w:t xml:space="preserve"> explain the Delaware limited partnership statute and the Investment Company Act, Investment Advisers Act, and Securities Act rules behind the items. Completing the checklist does not establish that the agreement complies with those laws.</w:t>
      </w:r>
    </w:p>
    <w:p>
      <w:pPr>
        <w:keepNext/>
        <w:spacing w:before="360" w:after="160"/>
      </w:pPr>
      <w:r>
        <w:rPr>
          <w:b/>
          <w:sz w:val="28"/>
          <w:szCs w:val="28"/>
        </w:rPr>
        <w:t xml:space="preserve">1. What the Manager Charges</w:t>
      </w:r>
    </w:p>
    <w:p>
      <w:pPr>
        <w:spacing w:before="0" w:after="120"/>
      </w:pPr>
      <w:r>
        <w:t xml:space="preserve">Read the fee terms as a stack, not clause by clause: a low management fee with a high profit share is a different deal from the reverse, and neither figure means much without the loss carryforward beneath it.</w:t>
      </w:r>
    </w:p>
    <w:p>
      <w:pPr>
        <w:keepNext/>
        <w:spacing w:before="200" w:after="80"/>
      </w:pPr>
      <w:r>
        <w:rPr>
          <w:rFonts w:ascii="Segoe UI Symbol" w:hAnsi="Segoe UI Symbol"/>
        </w:rPr>
        <w:t xml:space="preserve">☐  </w:t>
      </w:r>
      <w:r>
        <w:rPr>
          <w:b/>
        </w:rPr>
        <w:t xml:space="preserve">1.1  </w:t>
      </w:r>
      <w:r>
        <w:rPr>
          <w:b/>
        </w:rPr>
        <w:t xml:space="preserve">Management fee rate stated, or its absence made deliberate</w:t>
      </w:r>
      <w:r>
        <w:t xml:space="preserve"> — Recommended (SHOULD)</w:t>
      </w:r>
    </w:p>
    <w:p>
      <w:pPr>
        <w:spacing w:before="0" w:after="120"/>
        <w:ind w:left="540"/>
      </w:pPr>
      <w:r>
        <w:t xml:space="preserve">Confirm the agreement either states the management fee rate or makes clear that no asset-based fee is charged. Both are real positions in limited partnership agreements filed with the SEC, whose fee terms include none at all, with the general partner paid solely through its profit share, and </w:t>
      </w:r>
      <w:r>
        <w:t xml:space="preserve">“a monthly management fee equal to 0.125% (an annual rate of 1.5%)”</w:t>
      </w:r>
      <w:r>
        <w:t xml:space="preserve"> of each investor's portfolio. What should not survive review is silence: a fee the agreement neither states nor expressly leaves to a named advisory contract.</w:t>
      </w:r>
    </w:p>
    <w:p>
      <w:pPr>
        <w:keepNext/>
        <w:spacing w:before="200" w:after="80"/>
      </w:pPr>
      <w:r>
        <w:rPr>
          <w:rFonts w:ascii="Segoe UI Symbol" w:hAnsi="Segoe UI Symbol"/>
        </w:rPr>
        <w:t xml:space="preserve">☐  </w:t>
      </w:r>
      <w:r>
        <w:rPr>
          <w:b/>
        </w:rPr>
        <w:t xml:space="preserve">1.2  </w:t>
      </w:r>
      <w:r>
        <w:rPr>
          <w:b/>
        </w:rPr>
        <w:t xml:space="preserve">Fee base, period, and whether it is charged in advance</w:t>
      </w:r>
      <w:r>
        <w:t xml:space="preserve"> — Recommended (SHOULD)</w:t>
      </w:r>
    </w:p>
    <w:p>
      <w:pPr>
        <w:spacing w:before="0" w:after="120"/>
        <w:ind w:left="540"/>
      </w:pPr>
      <w:r>
        <w:t xml:space="preserve">Check what the fee is a percentage of, over what period, and whether it is taken at the start of the period or the end. The base is not always the plain capital account balance, so the same headline rate can produce a different dollar charge. Confirm the agreement says how a mid-period subscription or withdrawal is prorated, since a fee charged monthly in advance is otherwise ambiguous for money that arrives on the fifteenth.</w:t>
      </w:r>
    </w:p>
    <w:p>
      <w:pPr>
        <w:keepNext/>
        <w:spacing w:before="200" w:after="80"/>
      </w:pPr>
      <w:r>
        <w:rPr>
          <w:rFonts w:ascii="Segoe UI Symbol" w:hAnsi="Segoe UI Symbol"/>
        </w:rPr>
        <w:t xml:space="preserve">☐  </w:t>
      </w:r>
      <w:r>
        <w:rPr>
          <w:b/>
        </w:rPr>
        <w:t xml:space="preserve">1.3  </w:t>
      </w:r>
      <w:r>
        <w:rPr>
          <w:b/>
        </w:rPr>
        <w:t xml:space="preserve">Manager's power to reduce or waive the fee for particular investors</w:t>
      </w:r>
      <w:r>
        <w:t xml:space="preserve"> — Recommended (SHOULD)</w:t>
      </w:r>
    </w:p>
    <w:p>
      <w:pPr>
        <w:spacing w:before="0" w:after="120"/>
        <w:ind w:left="540"/>
      </w:pPr>
      <w:r>
        <w:t xml:space="preserve">Look for the clause letting the manager reduce, waive, rebate, or calculate the fee differently for one or more investors without amending the agreement. This is the clause that makes fee side letters operative, and its practical effect is that the stated rate is a ceiling rather than a uniform price. Where it is present, check whether the agreement also requires disclosure of those arrangements to other investors.</w:t>
      </w:r>
    </w:p>
    <w:p>
      <w:pPr>
        <w:keepNext/>
        <w:spacing w:before="200" w:after="80"/>
      </w:pPr>
      <w:r>
        <w:rPr>
          <w:rFonts w:ascii="Segoe UI Symbol" w:hAnsi="Segoe UI Symbol"/>
        </w:rPr>
        <w:t xml:space="preserve">☐  </w:t>
      </w:r>
      <w:r>
        <w:rPr>
          <w:b/>
        </w:rPr>
        <w:t xml:space="preserve">1.4  </w:t>
      </w:r>
      <w:r>
        <w:rPr>
          <w:b/>
        </w:rPr>
        <w:t xml:space="preserve">Performance share percentage stated</w:t>
      </w:r>
      <w:r>
        <w:t xml:space="preserve"> — Recommended (SHOULD)</w:t>
      </w:r>
    </w:p>
    <w:p>
      <w:pPr>
        <w:spacing w:before="0" w:after="120"/>
        <w:ind w:left="540"/>
      </w:pPr>
      <w:r>
        <w:t xml:space="preserve">Verify the agreement states the percentage of gains the manager takes. The share is negotiated, not a default; limited partnership agreements filed with the SEC include twenty percent of a limited partner's net increase after the management fee and loss recovery balance, and </w:t>
      </w:r>
      <w:r>
        <w:t xml:space="preserve">“an Incentive Reallocation in an amount equal to 25% of the Net Increase in Net Asset Value”</w:t>
      </w:r>
      <w:r>
        <w:t xml:space="preserve">, above a hurdle and with no management fee. Read the percentage together with the hurdle and the loss carryforward rather than on its own.</w:t>
      </w:r>
    </w:p>
    <w:p>
      <w:pPr>
        <w:keepNext/>
        <w:spacing w:before="200" w:after="80"/>
      </w:pPr>
      <w:r>
        <w:rPr>
          <w:rFonts w:ascii="Segoe UI Symbol" w:hAnsi="Segoe UI Symbol"/>
        </w:rPr>
        <w:t xml:space="preserve">☐  </w:t>
      </w:r>
      <w:r>
        <w:rPr>
          <w:b/>
        </w:rPr>
        <w:t xml:space="preserve">1.5  </w:t>
      </w:r>
      <w:r>
        <w:rPr>
          <w:b/>
        </w:rPr>
        <w:t xml:space="preserve">Profit share taken as a reallocation or paid as a fee</w:t>
      </w:r>
      <w:r>
        <w:t xml:space="preserve"> — Recommended (SHOULD)</w:t>
      </w:r>
    </w:p>
    <w:p>
      <w:pPr>
        <w:spacing w:before="0" w:after="120"/>
        <w:ind w:left="540"/>
      </w:pPr>
      <w:r>
        <w:t xml:space="preserve">Check whether the manager's profit share moves between capital accounts inside the partnership or is paid out as a fee to the management company. Some filed agreements use the reallocation form: the amount moves to the general partner's capital account, under names such as an Incentive Allocation or an Incentive Reallocation. The distinction matters to the manager's own tax position and to what an investor is actually giving up, so confirm the agreement is consistent with itself and with the private placement memorandum rather than mixing the two vocabularies.</w:t>
      </w:r>
    </w:p>
    <w:p>
      <w:pPr>
        <w:keepNext/>
        <w:spacing w:before="200" w:after="80"/>
      </w:pPr>
      <w:r>
        <w:rPr>
          <w:rFonts w:ascii="Segoe UI Symbol" w:hAnsi="Segoe UI Symbol"/>
        </w:rPr>
        <w:t xml:space="preserve">☐  </w:t>
      </w:r>
      <w:r>
        <w:rPr>
          <w:b/>
        </w:rPr>
        <w:t xml:space="preserve">1.6  </w:t>
      </w:r>
      <w:r>
        <w:rPr>
          <w:b/>
        </w:rPr>
        <w:t xml:space="preserve">Loss carryforward or high-water mark stated, including its absence</w:t>
      </w:r>
      <w:r>
        <w:t xml:space="preserve"> — Recommended (SHOULD)</w:t>
      </w:r>
    </w:p>
    <w:p>
      <w:pPr>
        <w:spacing w:before="0" w:after="120"/>
        <w:ind w:left="540"/>
      </w:pPr>
      <w:r>
        <w:t xml:space="preserve">Confirm the agreement states whether the performance allocation is subject to an investor-level loss carryforward or high-water mark. If it is, record its calculation and its treatment on reset, transfer, partial withdrawal, full withdrawal, and series or class changes. If it is not, confirm the agreement says so expressly. The review tests disclosure of the economic term, not whether the fund adopts an investor-favorable outcome.</w:t>
      </w:r>
    </w:p>
    <w:p>
      <w:pPr>
        <w:keepNext/>
        <w:spacing w:before="200" w:after="80"/>
      </w:pPr>
      <w:r>
        <w:rPr>
          <w:rFonts w:ascii="Segoe UI Symbol" w:hAnsi="Segoe UI Symbol"/>
        </w:rPr>
        <w:t xml:space="preserve">☐  </w:t>
      </w:r>
      <w:r>
        <w:rPr>
          <w:b/>
        </w:rPr>
        <w:t xml:space="preserve">1.7  </w:t>
      </w:r>
      <w:r>
        <w:rPr>
          <w:b/>
        </w:rPr>
        <w:t xml:space="preserve">Minimum return before the manager shares in gains</w:t>
      </w:r>
      <w:r>
        <w:t xml:space="preserve"> — Optional (MAY)</w:t>
      </w:r>
    </w:p>
    <w:p>
      <w:pPr>
        <w:spacing w:before="0" w:after="120"/>
        <w:ind w:left="540"/>
      </w:pPr>
      <w:r>
        <w:t xml:space="preserve">Check whether the profit share accrues only above a stated return. A hurdle is optional, and where one appears its form varies: limited partnership agreements filed with the SEC include a five percent annualized internal rate of return and a flat rate of six or five percent per annum, depending on whether a services agreement is in force. Where a hurdle is present, confirm whether it is a hard hurdle (the manager shares only in the excess) or a soft one with a catch-up, because the two produce very different numbers at modest returns.</w:t>
      </w:r>
    </w:p>
    <w:p>
      <w:pPr>
        <w:keepNext/>
        <w:spacing w:before="200" w:after="80"/>
      </w:pPr>
      <w:r>
        <w:rPr>
          <w:rFonts w:ascii="Segoe UI Symbol" w:hAnsi="Segoe UI Symbol"/>
        </w:rPr>
        <w:t xml:space="preserve">☐  </w:t>
      </w:r>
      <w:r>
        <w:rPr>
          <w:b/>
        </w:rPr>
        <w:t xml:space="preserve">1.8  </w:t>
      </w:r>
      <w:r>
        <w:rPr>
          <w:b/>
        </w:rPr>
        <w:t xml:space="preserve">When the profit share is locked in</w:t>
      </w:r>
      <w:r>
        <w:t xml:space="preserve"> — Recommended (SHOULD)</w:t>
      </w:r>
    </w:p>
    <w:p>
      <w:pPr>
        <w:spacing w:before="0" w:after="120"/>
        <w:ind w:left="540"/>
      </w:pPr>
      <w:r>
        <w:t xml:space="preserve">Confirm the agreement fixes the point at which the accrued profit share becomes the manager's for good. Limited partnership agreements filed with the SEC include annual measurement at fiscal year end, crystallization on a full or partial withdrawal for the amount withdrawn, quarterly allocations with a year-to-date true-up, and crystallization on the disposition of a substantial investment position. Check that the agreement says what happens to an accrued but uncrystallized amount if the fund is dissolved mid-period.</w:t>
      </w:r>
    </w:p>
    <w:p>
      <w:pPr>
        <w:keepNext/>
        <w:spacing w:before="200" w:after="80"/>
      </w:pPr>
      <w:r>
        <w:rPr>
          <w:rFonts w:ascii="Segoe UI Symbol" w:hAnsi="Segoe UI Symbol"/>
        </w:rPr>
        <w:t xml:space="preserve">☐  </w:t>
      </w:r>
      <w:r>
        <w:rPr>
          <w:b/>
        </w:rPr>
        <w:t xml:space="preserve">1.9  </w:t>
      </w:r>
      <w:r>
        <w:rPr>
          <w:b/>
        </w:rPr>
        <w:t xml:space="preserve">Rule 205-3 performance-allocation eligibility applied when federally required</w:t>
      </w:r>
      <w:r>
        <w:t xml:space="preserve"> — Required (MUST)</w:t>
      </w:r>
    </w:p>
    <w:p>
      <w:pPr>
        <w:spacing w:before="0" w:after="120"/>
        <w:ind w:left="540"/>
      </w:pPr>
      <w:r>
        <w:t xml:space="preserve">If the adviser is registered or required to be registered with the Commission and the fund charges a performance allocation, confirm the contract limits that compensation to clients permitted by Advisers Act section 205(a)(1) and Rule 205-3 when section 205(a)(1) applies. For a section 3(c)(1) fund, test each equity owner charged the allocation. Section 205(b)(4) makes section 205(a)(1) inapplicable to an advisory contract with a section 3(c)(7) fund; a separate contract or state rule may still require a qualified-client screen. If the adviser is state-registered, record the governing state performance-compensation rule separately. Use the current Commission order for indexed thresholds and record the as-of date.</w:t>
      </w:r>
    </w:p>
    <w:p>
      <w:pPr>
        <w:keepNext/>
        <w:spacing w:before="360" w:after="160"/>
      </w:pPr>
      <w:r>
        <w:rPr>
          <w:b/>
          <w:sz w:val="28"/>
          <w:szCs w:val="28"/>
        </w:rPr>
        <w:t xml:space="preserve">2. Getting Money Back Out</w:t>
      </w:r>
    </w:p>
    <w:p>
      <w:pPr>
        <w:spacing w:before="0" w:after="120"/>
      </w:pPr>
      <w:r>
        <w:t xml:space="preserve">Lock-up, withdrawal dates, notice, any cap on how much can leave at once, and the power to suspend each defer a withdrawal on their own, and they compound. Limited partnership agreements filed with the SEC include withdrawal on any business day and withdrawal once every five years.</w:t>
      </w:r>
    </w:p>
    <w:p>
      <w:pPr>
        <w:keepNext/>
        <w:spacing w:before="200" w:after="80"/>
      </w:pPr>
      <w:r>
        <w:rPr>
          <w:rFonts w:ascii="Segoe UI Symbol" w:hAnsi="Segoe UI Symbol"/>
        </w:rPr>
        <w:t xml:space="preserve">☐  </w:t>
      </w:r>
      <w:r>
        <w:rPr>
          <w:b/>
        </w:rPr>
        <w:t xml:space="preserve">2.1  </w:t>
      </w:r>
      <w:r>
        <w:rPr>
          <w:b/>
        </w:rPr>
        <w:t xml:space="preserve">Lock-up period stated, or confirmed to be none</w:t>
      </w:r>
      <w:r>
        <w:t xml:space="preserve"> — Recommended (SHOULD)</w:t>
      </w:r>
    </w:p>
    <w:p>
      <w:pPr>
        <w:spacing w:before="0" w:after="120"/>
        <w:ind w:left="540"/>
      </w:pPr>
      <w:r>
        <w:t xml:space="preserve">Confirm how long an investor's money cannot be withdrawn at all after it comes in, or that there is no such period. Filed lock-ups include two years from the date the investment was accepted, eight full fiscal quarters plus a month, and a first withdrawal date of March 31 of the fifth year after the contribution. Check whether the lock-up runs per contribution or per investor, since a fund with a per-contribution lock-up staggers liquidity for anyone who adds money later.</w:t>
      </w:r>
    </w:p>
    <w:p>
      <w:pPr>
        <w:keepNext/>
        <w:spacing w:before="200" w:after="80"/>
      </w:pPr>
      <w:r>
        <w:rPr>
          <w:rFonts w:ascii="Segoe UI Symbol" w:hAnsi="Segoe UI Symbol"/>
        </w:rPr>
        <w:t xml:space="preserve">☐  </w:t>
      </w:r>
      <w:r>
        <w:rPr>
          <w:b/>
        </w:rPr>
        <w:t xml:space="preserve">2.2  </w:t>
      </w:r>
      <w:r>
        <w:rPr>
          <w:b/>
        </w:rPr>
        <w:t xml:space="preserve">Withdrawal dates fixed once the lock-up has run</w:t>
      </w:r>
      <w:r>
        <w:t xml:space="preserve"> — Recommended (SHOULD)</w:t>
      </w:r>
    </w:p>
    <w:p>
      <w:pPr>
        <w:spacing w:before="0" w:after="120"/>
        <w:ind w:left="540"/>
      </w:pPr>
      <w:r>
        <w:t xml:space="preserve">Confirm the agreement fixes the dates as of which an investor may withdraw. Filed withdrawal dates include quarter end, month end, and any business day. Watch for liquidity that is not on the calendar at all, such as withdrawals only when the fund disposes of a substantial position or otherwise with the general partner's consent, which can be withheld in its sole discretion. That is a materially different instrument from a quarterly fund and should be described as such wherever the fund is offered.</w:t>
      </w:r>
    </w:p>
    <w:p>
      <w:pPr>
        <w:keepNext/>
        <w:spacing w:before="200" w:after="80"/>
      </w:pPr>
      <w:r>
        <w:rPr>
          <w:rFonts w:ascii="Segoe UI Symbol" w:hAnsi="Segoe UI Symbol"/>
        </w:rPr>
        <w:t xml:space="preserve">☐  </w:t>
      </w:r>
      <w:r>
        <w:rPr>
          <w:b/>
        </w:rPr>
        <w:t xml:space="preserve">2.3  </w:t>
      </w:r>
      <w:r>
        <w:rPr>
          <w:b/>
        </w:rPr>
        <w:t xml:space="preserve">Advance notice required for a withdrawal</w:t>
      </w:r>
      <w:r>
        <w:t xml:space="preserve"> — Recommended (SHOULD)</w:t>
      </w:r>
    </w:p>
    <w:p>
      <w:pPr>
        <w:spacing w:before="0" w:after="120"/>
        <w:ind w:left="540"/>
      </w:pPr>
      <w:r>
        <w:t xml:space="preserve">Check how much advance written notice a withdrawal requires and confirm it is stated in days or business days rather than left at large. The spread is the point: filed notice terms include </w:t>
      </w:r>
      <w:r>
        <w:t xml:space="preserve">“written notice to the General Partner at least 3 Business Days prior to the proposed withdrawal date”</w:t>
      </w:r>
      <w:r>
        <w:t xml:space="preserve">, ninety days, and notice received within a March window that opens once every five years. Confirm the agreement says whether a notice can be revoked, and what happens to a notice that is caught by a suspension.</w:t>
      </w:r>
    </w:p>
    <w:p>
      <w:pPr>
        <w:keepNext/>
        <w:spacing w:before="200" w:after="80"/>
      </w:pPr>
      <w:r>
        <w:rPr>
          <w:rFonts w:ascii="Segoe UI Symbol" w:hAnsi="Segoe UI Symbol"/>
        </w:rPr>
        <w:t xml:space="preserve">☐  </w:t>
      </w:r>
      <w:r>
        <w:rPr>
          <w:b/>
        </w:rPr>
        <w:t xml:space="preserve">2.4  </w:t>
      </w:r>
      <w:r>
        <w:rPr>
          <w:b/>
        </w:rPr>
        <w:t xml:space="preserve">Cap on aggregate withdrawals in a single period</w:t>
      </w:r>
      <w:r>
        <w:t xml:space="preserve"> — Recommended (SHOULD)</w:t>
      </w:r>
    </w:p>
    <w:p>
      <w:pPr>
        <w:spacing w:before="0" w:after="120"/>
        <w:ind w:left="540"/>
      </w:pPr>
      <w:r>
        <w:t xml:space="preserve">Look for a cap on how much can leave the fund on one withdrawal date, and read it as a term that can turn a valid full withdrawal request into a partial payment. Some filed agreements impose such a cap, whether on aggregate monthly withdrawals at ten percent of net asset value at the general partner's discretion or on quarterly redemptions at three percent of units outstanding, with express discretion to exceed it. Where a cap exists, confirm three things: how requests are cut back (for example, pro rata), whether the unfilled balance rolls to the next date automatically or must be resubmitted, and whether the cap is measured at the fund alone or across parallel vehicles.</w:t>
      </w:r>
    </w:p>
    <w:p>
      <w:pPr>
        <w:keepNext/>
        <w:spacing w:before="200" w:after="80"/>
      </w:pPr>
      <w:r>
        <w:rPr>
          <w:rFonts w:ascii="Segoe UI Symbol" w:hAnsi="Segoe UI Symbol"/>
        </w:rPr>
        <w:t xml:space="preserve">☐  </w:t>
      </w:r>
      <w:r>
        <w:rPr>
          <w:b/>
        </w:rPr>
        <w:t xml:space="preserve">2.5  </w:t>
      </w:r>
      <w:r>
        <w:rPr>
          <w:b/>
        </w:rPr>
        <w:t xml:space="preserve">Suspension power and the triggers that switch it on</w:t>
      </w:r>
      <w:r>
        <w:t xml:space="preserve"> — Recommended (SHOULD)</w:t>
      </w:r>
    </w:p>
    <w:p>
      <w:pPr>
        <w:spacing w:before="0" w:after="120"/>
        <w:ind w:left="540"/>
      </w:pPr>
      <w:r>
        <w:t xml:space="preserve">Confirm the manager's power to suspend withdrawals, the payment of proceeds, or the determination of net asset value, and read the trigger list closely: this is the term that can stop redemptions entirely rather than merely slow them. Limited partnership agreements filed with the SEC include suspension of the redemption program alone and suspension of withdrawal rights, distributions, and the determination of net asset value. Check whether pending requests are honoured, revoked, or held when a suspension begins, whether the manager must notify investors, and whether the suspension ends on a stated condition or only when the manager declares it over.</w:t>
      </w:r>
    </w:p>
    <w:p>
      <w:pPr>
        <w:keepNext/>
        <w:spacing w:before="200" w:after="80"/>
      </w:pPr>
      <w:r>
        <w:rPr>
          <w:rFonts w:ascii="Segoe UI Symbol" w:hAnsi="Segoe UI Symbol"/>
        </w:rPr>
        <w:t xml:space="preserve">☐  </w:t>
      </w:r>
      <w:r>
        <w:rPr>
          <w:b/>
        </w:rPr>
        <w:t xml:space="preserve">2.6  </w:t>
      </w:r>
      <w:r>
        <w:rPr>
          <w:b/>
        </w:rPr>
        <w:t xml:space="preserve">Portion of the payout held back until the annual audit</w:t>
      </w:r>
      <w:r>
        <w:t xml:space="preserve"> — Recommended (SHOULD)</w:t>
      </w:r>
    </w:p>
    <w:p>
      <w:pPr>
        <w:spacing w:before="0" w:after="120"/>
        <w:ind w:left="540"/>
      </w:pPr>
      <w:r>
        <w:t xml:space="preserve">Check whether part of a withdrawing investor's balance is retained until the fund's annual financial statements are complete, and how much. Limited partnership agreements filed with the SEC state the initial payment as a percentage on differing bases, such as at least eighty-five percent of the amount due within thirty days, and a withdrawal can separately be subject to reserves for liabilities and contingencies. Confirm the agreement says when the holdback is released and whether it carries interest, because an unreleased holdback is an interest-free loan to the fund.</w:t>
      </w:r>
    </w:p>
    <w:p>
      <w:pPr>
        <w:keepNext/>
        <w:spacing w:before="200" w:after="80"/>
      </w:pPr>
      <w:r>
        <w:rPr>
          <w:rFonts w:ascii="Segoe UI Symbol" w:hAnsi="Segoe UI Symbol"/>
        </w:rPr>
        <w:t xml:space="preserve">☐  </w:t>
      </w:r>
      <w:r>
        <w:rPr>
          <w:b/>
        </w:rPr>
        <w:t xml:space="preserve">2.7  </w:t>
      </w:r>
      <w:r>
        <w:rPr>
          <w:b/>
        </w:rPr>
        <w:t xml:space="preserve">Charge for withdrawing before a threshold period</w:t>
      </w:r>
      <w:r>
        <w:t xml:space="preserve"> — Optional (MAY)</w:t>
      </w:r>
    </w:p>
    <w:p>
      <w:pPr>
        <w:spacing w:before="0" w:after="120"/>
        <w:ind w:left="540"/>
      </w:pPr>
      <w:r>
        <w:t xml:space="preserve">Check whether an early exit is priced rather than forbidden. Limited partnership agreements filed with the SEC include a five percent deduction from units held less than two years, for the benefit of the fund and so indirectly the remaining investors. Where such a charge exists, confirm who receives it. A charge paid to the fund compensates the investors who stay; a charge paid to the manager is additional compensation and should be read alongside the fee items above.</w:t>
      </w:r>
    </w:p>
    <w:p>
      <w:pPr>
        <w:keepNext/>
        <w:spacing w:before="200" w:after="80"/>
      </w:pPr>
      <w:r>
        <w:rPr>
          <w:rFonts w:ascii="Segoe UI Symbol" w:hAnsi="Segoe UI Symbol"/>
        </w:rPr>
        <w:t xml:space="preserve">☐  </w:t>
      </w:r>
      <w:r>
        <w:rPr>
          <w:b/>
        </w:rPr>
        <w:t xml:space="preserve">2.8  </w:t>
      </w:r>
      <w:r>
        <w:rPr>
          <w:b/>
        </w:rPr>
        <w:t xml:space="preserve">Manager's power to pay a withdrawal in securities</w:t>
      </w:r>
      <w:r>
        <w:t xml:space="preserve"> — Recommended (SHOULD)</w:t>
      </w:r>
    </w:p>
    <w:p>
      <w:pPr>
        <w:spacing w:before="0" w:after="120"/>
        <w:ind w:left="540"/>
      </w:pPr>
      <w:r>
        <w:t xml:space="preserve">Check whether the manager may satisfy a withdrawal by distributing securities instead of cash. A power to pay out in securities or other property instead of cash is not by itself a concern; what to look for is whether it may be exercised selectively, whether the distributed assets must be a pro rata slice of the portfolio or may be chosen by the manager, how they are valued for the purpose, and whether the investor gets advance notice. A discretionary, non-pro-rata in-kind power lets a manager hand the least liquid holdings to the investor who leaves.</w:t>
      </w:r>
    </w:p>
    <w:p>
      <w:pPr>
        <w:keepNext/>
        <w:spacing w:before="200" w:after="80"/>
      </w:pPr>
      <w:r>
        <w:rPr>
          <w:rFonts w:ascii="Segoe UI Symbol" w:hAnsi="Segoe UI Symbol"/>
        </w:rPr>
        <w:t xml:space="preserve">☐  </w:t>
      </w:r>
      <w:r>
        <w:rPr>
          <w:b/>
        </w:rPr>
        <w:t xml:space="preserve">2.9  </w:t>
      </w:r>
      <w:r>
        <w:rPr>
          <w:b/>
        </w:rPr>
        <w:t xml:space="preserve">Manager's power to force an investor out</w:t>
      </w:r>
      <w:r>
        <w:t xml:space="preserve"> — Recommended (SHOULD)</w:t>
      </w:r>
    </w:p>
    <w:p>
      <w:pPr>
        <w:spacing w:before="0" w:after="120"/>
        <w:ind w:left="540"/>
      </w:pPr>
      <w:r>
        <w:t xml:space="preserve">Confirm the manager's power to compel a withdrawal and read the trigger. Some agreements confine it to a reason: an investor whose participation would create a regulatory, tax, or plan-asset problem, or whose eligibility representations have stopped being true. Others reserve it at large, permitting a required withdrawal for any reason or no reason, or termination of an interest on five days' notice whenever the general partner finds that in the partnership's best interest. A wide power is a market position rather than a defect, but it should be disclosed as one, and confirm the payout mechanic for a forced exit matches the voluntary one.</w:t>
      </w:r>
    </w:p>
    <w:p>
      <w:pPr>
        <w:keepNext/>
        <w:spacing w:before="200" w:after="80"/>
      </w:pPr>
      <w:r>
        <w:rPr>
          <w:rFonts w:ascii="Segoe UI Symbol" w:hAnsi="Segoe UI Symbol"/>
        </w:rPr>
        <w:t xml:space="preserve">☐  </w:t>
      </w:r>
      <w:r>
        <w:rPr>
          <w:b/>
        </w:rPr>
        <w:t xml:space="preserve">2.10  </w:t>
      </w:r>
      <w:r>
        <w:rPr>
          <w:b/>
        </w:rPr>
        <w:t xml:space="preserve">Whether an investor may sell its interest, and on whose consent</w:t>
      </w:r>
      <w:r>
        <w:t xml:space="preserve"> — Recommended (SHOULD)</w:t>
      </w:r>
    </w:p>
    <w:p>
      <w:pPr>
        <w:spacing w:before="0" w:after="120"/>
        <w:ind w:left="540"/>
      </w:pPr>
      <w:r>
        <w:t xml:space="preserve">Confirm the agreement says whether an investor may transfer, assign, pledge, or encumber its interest. Withdrawing is not the only way out, and silence here is not neutral: unless the partnership agreement provides otherwise, Delaware law provides that </w:t>
      </w:r>
      <w:r>
        <w:t xml:space="preserve">“A partnership interest is assignable in whole or in part”</w:t>
      </w:r>
      <w:r>
        <w:t xml:space="preserve"> and that the assignee takes the profits, losses, and distributions the assignor was entitled to, so an agreement that says nothing leaves the fund's economics saleable to people the manager never screened. Some filed agreements restrict transfers in nearly the same words: no transfer is valid and no transferee becomes a substituted limited partner without the general partner's prior written consent, withheld in its sole discretion. Read the consent standard in every subsection rather than only the first: a sole-discretion standard for the transfer itself can sit beside a subsection admitting the transferee on a consent </w:t>
      </w:r>
      <w:r>
        <w:t xml:space="preserve">“which consent shall not be unreasonably withheld”</w:t>
      </w:r>
      <w:r>
        <w:t xml:space="preserve">, followed by a sole-discretion standard for becoming a substituted limited partner.</w:t>
      </w:r>
    </w:p>
    <w:p>
      <w:pPr>
        <w:keepNext/>
        <w:spacing w:before="200" w:after="80"/>
      </w:pPr>
      <w:r>
        <w:rPr>
          <w:rFonts w:ascii="Segoe UI Symbol" w:hAnsi="Segoe UI Symbol"/>
        </w:rPr>
        <w:t xml:space="preserve">☐  </w:t>
      </w:r>
      <w:r>
        <w:rPr>
          <w:b/>
        </w:rPr>
        <w:t xml:space="preserve">2.11  </w:t>
      </w:r>
      <w:r>
        <w:rPr>
          <w:b/>
        </w:rPr>
        <w:t xml:space="preserve">Distribution language does not purport to override Delaware law</w:t>
      </w:r>
      <w:r>
        <w:t xml:space="preserve"> — Recommended (SHOULD)</w:t>
      </w:r>
    </w:p>
    <w:p>
      <w:pPr>
        <w:spacing w:before="0" w:after="120"/>
        <w:ind w:left="540"/>
      </w:pPr>
      <w:r>
        <w:t xml:space="preserve">Check that no distribution provision purports to override Delaware's statutory limit. The statute applies whether or not the agreement recites it, so silence is not itself a defect; flag language that authorizes a distribution when, after giving it effect, the liabilities counted by section 17-607(a) would exceed the fair value of the partnership's assets.</w:t>
      </w:r>
    </w:p>
    <w:p>
      <w:pPr>
        <w:keepNext/>
        <w:spacing w:before="360" w:after="160"/>
      </w:pPr>
      <w:r>
        <w:rPr>
          <w:b/>
          <w:sz w:val="28"/>
          <w:szCs w:val="28"/>
        </w:rPr>
        <w:t xml:space="preserve">3. Capital Accounts and How Gains Are Split</w:t>
      </w:r>
    </w:p>
    <w:p>
      <w:pPr>
        <w:spacing w:before="0" w:after="120"/>
      </w:pPr>
      <w:r>
        <w:t xml:space="preserve">An investor holds a capital account, not a share count. Every fee and liquidity clause is arithmetic performed on that account, so what matters here is whether the arithmetic is defined.</w:t>
      </w:r>
    </w:p>
    <w:p>
      <w:pPr>
        <w:keepNext/>
        <w:spacing w:before="200" w:after="80"/>
      </w:pPr>
      <w:r>
        <w:rPr>
          <w:rFonts w:ascii="Segoe UI Symbol" w:hAnsi="Segoe UI Symbol"/>
        </w:rPr>
        <w:t xml:space="preserve">☐  </w:t>
      </w:r>
      <w:r>
        <w:rPr>
          <w:b/>
        </w:rPr>
        <w:t xml:space="preserve">3.1  </w:t>
      </w:r>
      <w:r>
        <w:rPr>
          <w:b/>
        </w:rPr>
        <w:t xml:space="preserve">A separate capital account maintained for each investor</w:t>
      </w:r>
      <w:r>
        <w:t xml:space="preserve"> — Recommended (SHOULD)</w:t>
      </w:r>
    </w:p>
    <w:p>
      <w:pPr>
        <w:spacing w:before="0" w:after="120"/>
        <w:ind w:left="540"/>
      </w:pPr>
      <w:r>
        <w:t xml:space="preserve">Confirm the agreement requires a separate capital account per partner and says what is credited to it (added to the partner's balance) and what is debited from it (subtracted from the balance): contributions and allocated gains are credited, and withdrawals, fees, the profit share, and allocated losses are debited. Check that the maintenance rule is tied to the partnership tax capital-accounting rules where the fund intends the allocations to be respected for tax, for example by maintaining accounts </w:t>
      </w:r>
      <w:r>
        <w:t xml:space="preserve">“in accordance with the capital accounting rules set forth in Treasury Regulations Section 1.704-1(b)(2)(iv)”</w:t>
      </w:r>
      <w:r>
        <w:t xml:space="preserve">.</w:t>
      </w:r>
    </w:p>
    <w:p>
      <w:pPr>
        <w:keepNext/>
        <w:spacing w:before="200" w:after="80"/>
      </w:pPr>
      <w:r>
        <w:rPr>
          <w:rFonts w:ascii="Segoe UI Symbol" w:hAnsi="Segoe UI Symbol"/>
        </w:rPr>
        <w:t xml:space="preserve">☐  </w:t>
      </w:r>
      <w:r>
        <w:rPr>
          <w:b/>
        </w:rPr>
        <w:t xml:space="preserve">3.2  </w:t>
      </w:r>
      <w:r>
        <w:rPr>
          <w:b/>
        </w:rPr>
        <w:t xml:space="preserve">Investors cannot be compelled to contribute more</w:t>
      </w:r>
      <w:r>
        <w:t xml:space="preserve"> — Recommended (SHOULD)</w:t>
      </w:r>
    </w:p>
    <w:p>
      <w:pPr>
        <w:spacing w:before="0" w:after="120"/>
        <w:ind w:left="540"/>
      </w:pPr>
      <w:r>
        <w:t xml:space="preserve">Confirm the agreement states that an investor is not obligated to contribute beyond its subscription. This is the fork between a fully-funded trading fund and a closed-end fund that draws capital down against a binding commitment, and it should be unambiguous on the face of the agreement, because the two structures differ in almost every other respect: liquidity, the shape of the profit share, and how expenses are borne. Where additional contributions are permitted but not required, check who decides and as of what dates they are accepted.</w:t>
      </w:r>
    </w:p>
    <w:p>
      <w:pPr>
        <w:keepNext/>
        <w:spacing w:before="200" w:after="80"/>
      </w:pPr>
      <w:r>
        <w:rPr>
          <w:rFonts w:ascii="Segoe UI Symbol" w:hAnsi="Segoe UI Symbol"/>
        </w:rPr>
        <w:t xml:space="preserve">☐  </w:t>
      </w:r>
      <w:r>
        <w:rPr>
          <w:b/>
        </w:rPr>
        <w:t xml:space="preserve">3.3  </w:t>
      </w:r>
      <w:r>
        <w:rPr>
          <w:b/>
        </w:rPr>
        <w:t xml:space="preserve">The dates on which new investors may join</w:t>
      </w:r>
      <w:r>
        <w:t xml:space="preserve"> — Recommended (SHOULD)</w:t>
      </w:r>
    </w:p>
    <w:p>
      <w:pPr>
        <w:spacing w:before="0" w:after="120"/>
        <w:ind w:left="540"/>
      </w:pPr>
      <w:r>
        <w:t xml:space="preserve">Check the dates as of which the manager may admit new investors and take additional money from existing ones, and confirm a person admitted is bound by the agreement without every existing investor having to sign again. Delaware's default is unanimity (after formation a person who is not an assignee is admitted </w:t>
      </w:r>
      <w:r>
        <w:t xml:space="preserve">“at the time provided in and upon compliance with the partnership agreement or, if the partnership agreement does not so provide, upon the consent of all partners”</w:t>
      </w:r>
      <w:r>
        <w:t xml:space="preserve">) which a fund taking monthly subscriptions cannot run on. Limited partnership agreements filed with the SEC include admission in the general partner's sole discretion, without advance notice to or consent of the existing limited partners, and admission only with their prior unanimous written consent, which fits a fund whose investors are a single corporate group rather than a market of subscribers. Confirm the admission date lines up with the date capital is valued and allocations begin, so a mid-period subscriber neither shares in gains it did not fund nor funds gains it does not share.</w:t>
      </w:r>
    </w:p>
    <w:p>
      <w:pPr>
        <w:keepNext/>
        <w:spacing w:before="200" w:after="80"/>
      </w:pPr>
      <w:r>
        <w:rPr>
          <w:rFonts w:ascii="Segoe UI Symbol" w:hAnsi="Segoe UI Symbol"/>
        </w:rPr>
        <w:t xml:space="preserve">☐  </w:t>
      </w:r>
      <w:r>
        <w:rPr>
          <w:b/>
        </w:rPr>
        <w:t xml:space="preserve">3.4  </w:t>
      </w:r>
      <w:r>
        <w:rPr>
          <w:b/>
        </w:rPr>
        <w:t xml:space="preserve">The manager's own money in the fund</w:t>
      </w:r>
      <w:r>
        <w:t xml:space="preserve"> — Recommended (SHOULD)</w:t>
      </w:r>
    </w:p>
    <w:p>
      <w:pPr>
        <w:spacing w:before="0" w:after="120"/>
        <w:ind w:left="540"/>
      </w:pPr>
      <w:r>
        <w:t xml:space="preserve">Check whether the agreement puts any of the manager's own capital into the fund, and whether it can be taken out again. Limited partnership agreements filed with the SEC include a stated minimum the general partner must keep in the fund and no requirement at all. Where a floor exists, confirm whether it is a covenant or merely a notice trigger, and whether the manager's interest is subject to the same lock-up and notice terms as everyone else's.</w:t>
      </w:r>
    </w:p>
    <w:p>
      <w:pPr>
        <w:keepNext/>
        <w:spacing w:before="200" w:after="80"/>
      </w:pPr>
      <w:r>
        <w:rPr>
          <w:rFonts w:ascii="Segoe UI Symbol" w:hAnsi="Segoe UI Symbol"/>
        </w:rPr>
        <w:t xml:space="preserve">☐  </w:t>
      </w:r>
      <w:r>
        <w:rPr>
          <w:b/>
        </w:rPr>
        <w:t xml:space="preserve">3.5  </w:t>
      </w:r>
      <w:r>
        <w:rPr>
          <w:b/>
        </w:rPr>
        <w:t xml:space="preserve">Accounting period defined for pushing gains into accounts</w:t>
      </w:r>
      <w:r>
        <w:t xml:space="preserve"> — Recommended (SHOULD)</w:t>
      </w:r>
    </w:p>
    <w:p>
      <w:pPr>
        <w:spacing w:before="0" w:after="120"/>
        <w:ind w:left="540"/>
      </w:pPr>
      <w:r>
        <w:t xml:space="preserve">Confirm the agreement defines the period at the end of which profit and loss are allocated across the capital accounts, and that the period closes on every event that changes the relative sizes of those accounts: a contribution, a withdrawal, and any regular valuation date such as month end. Without an interim close, an investor who joins mid-period shares in gains it was not exposed to. Check that the allocation is made in proportion to opening balances and that the defined term used here is the same one the fee and profit-share clauses rely on.</w:t>
      </w:r>
    </w:p>
    <w:p>
      <w:pPr>
        <w:keepNext/>
        <w:spacing w:before="200" w:after="80"/>
      </w:pPr>
      <w:r>
        <w:rPr>
          <w:rFonts w:ascii="Segoe UI Symbol" w:hAnsi="Segoe UI Symbol"/>
        </w:rPr>
        <w:t xml:space="preserve">☐  </w:t>
      </w:r>
      <w:r>
        <w:rPr>
          <w:b/>
        </w:rPr>
        <w:t xml:space="preserve">3.6  </w:t>
      </w:r>
      <w:r>
        <w:rPr>
          <w:b/>
        </w:rPr>
        <w:t xml:space="preserve">Tax allocations handled separately from book allocations</w:t>
      </w:r>
      <w:r>
        <w:t xml:space="preserve"> — Recommended (SHOULD)</w:t>
      </w:r>
    </w:p>
    <w:p>
      <w:pPr>
        <w:spacing w:before="0" w:after="120"/>
        <w:ind w:left="540"/>
      </w:pPr>
      <w:r>
        <w:t xml:space="preserve">Confirm the agreement allocates tax items on their own rules rather than assuming they follow the book allocation. Look for language tying the allocations to the substantial-economic-effect regulations and for a built-in-gain provision addressing property contributed in kind. Confirm the agreement names whoever will act for the fund in a tax proceeding (filings before the current regime say tax matters partner, later ones say partnership representative) and check that the term used matches the years the fund will actually be filing for.</w:t>
      </w:r>
    </w:p>
    <w:p>
      <w:pPr>
        <w:keepNext/>
        <w:spacing w:before="200" w:after="80"/>
      </w:pPr>
      <w:r>
        <w:rPr>
          <w:rFonts w:ascii="Segoe UI Symbol" w:hAnsi="Segoe UI Symbol"/>
        </w:rPr>
        <w:t xml:space="preserve">☐  </w:t>
      </w:r>
      <w:r>
        <w:rPr>
          <w:b/>
        </w:rPr>
        <w:t xml:space="preserve">3.7  </w:t>
      </w:r>
      <w:r>
        <w:rPr>
          <w:b/>
        </w:rPr>
        <w:t xml:space="preserve">Separate allocation of new-issue profits</w:t>
      </w:r>
      <w:r>
        <w:t xml:space="preserve"> — Recommended (SHOULD)</w:t>
      </w:r>
    </w:p>
    <w:p>
      <w:pPr>
        <w:spacing w:before="0" w:after="120"/>
        <w:ind w:left="540"/>
      </w:pPr>
      <w:r>
        <w:t xml:space="preserve">Where the fund may buy IPO shares, check for a separate allocation mechanic for new issues, meaning shares bought in an initial public offering, so that investors who are restricted persons are excluded from those profits. The FINRA rule works on the broker-dealer side (a member </w:t>
      </w:r>
      <w:r>
        <w:t xml:space="preserve">“may not sell, or cause to be sold, a new issue to any account in which a restricted person has a beneficial interest”</w:t>
      </w:r>
      <w:r>
        <w:t xml:space="preserve">) so the fund's own compliance runs through this allocation clause and the investor questionnaire behind it. Confirm the mechanic uses a dedicated sub-account rather than an after-the-fact adjustment, and that the agreement lets the manager collect and re-verify restricted-person status.</w:t>
      </w:r>
    </w:p>
    <w:p>
      <w:pPr>
        <w:keepNext/>
        <w:spacing w:before="200" w:after="80"/>
      </w:pPr>
      <w:r>
        <w:rPr>
          <w:rFonts w:ascii="Segoe UI Symbol" w:hAnsi="Segoe UI Symbol"/>
        </w:rPr>
        <w:t xml:space="preserve">☐  </w:t>
      </w:r>
      <w:r>
        <w:rPr>
          <w:b/>
        </w:rPr>
        <w:t xml:space="preserve">3.8  </w:t>
      </w:r>
      <w:r>
        <w:rPr>
          <w:b/>
        </w:rPr>
        <w:t xml:space="preserve">Separate accounting for illiquid or hard-to-value holdings</w:t>
      </w:r>
      <w:r>
        <w:t xml:space="preserve"> — Optional (MAY)</w:t>
      </w:r>
    </w:p>
    <w:p>
      <w:pPr>
        <w:spacing w:before="0" w:after="120"/>
        <w:ind w:left="540"/>
      </w:pPr>
      <w:r>
        <w:t xml:space="preserve">Check whether the manager may designate particular illiquid or hard-to-value holdings and account for them in a segregated sub-account, so that they are valued, charged, and paid out on their own timetable. Some filed agreements provide for this, whether as a sub-account for assets the general partner designates or as an amendment power to create segregated accounts for restricted securities. Where the mechanic exists, check what may be designated, whether an investor can be moved into it after subscribing, whether the profit share is charged on unrealized gains, and how a withdrawal is handled while a designation is outstanding. Also test a write-down larger than that investor's remaining Capital Account: who bears the excess, how much positive manager capital is available, whether anyone must restore a deficit, and who receives later recovery gains? Limited partnership agreements filed with the SEC include a rule that allocates the excess to the general partner's capital account and lets later gains recapture it for the general partner.</w:t>
      </w:r>
    </w:p>
    <w:p>
      <w:pPr>
        <w:keepNext/>
        <w:spacing w:before="360" w:after="160"/>
      </w:pPr>
      <w:r>
        <w:rPr>
          <w:b/>
          <w:sz w:val="28"/>
          <w:szCs w:val="28"/>
        </w:rPr>
        <w:t xml:space="preserve">4. What the Manager May Do</w:t>
      </w:r>
    </w:p>
    <w:p>
      <w:pPr>
        <w:spacing w:before="0" w:after="120"/>
      </w:pPr>
      <w:r>
        <w:t xml:space="preserve">Authority and liability are two halves of one bargain: the agreement gives the manager near-total control, and the standard-of-care clause says how badly it must behave before an investor can recover. In Delaware that second half is contract, not default law, so the exact words of the carve-out matter more than anything else here.</w:t>
      </w:r>
    </w:p>
    <w:p>
      <w:pPr>
        <w:keepNext/>
        <w:spacing w:before="200" w:after="80"/>
      </w:pPr>
      <w:r>
        <w:rPr>
          <w:rFonts w:ascii="Segoe UI Symbol" w:hAnsi="Segoe UI Symbol"/>
        </w:rPr>
        <w:t xml:space="preserve">☐  </w:t>
      </w:r>
      <w:r>
        <w:rPr>
          <w:b/>
        </w:rPr>
        <w:t xml:space="preserve">4.1  </w:t>
      </w:r>
      <w:r>
        <w:rPr>
          <w:b/>
        </w:rPr>
        <w:t xml:space="preserve">Manager's management and investment authority</w:t>
      </w:r>
      <w:r>
        <w:t xml:space="preserve"> — Recommended (SHOULD)</w:t>
      </w:r>
    </w:p>
    <w:p>
      <w:pPr>
        <w:spacing w:before="0" w:after="120"/>
        <w:ind w:left="540"/>
      </w:pPr>
      <w:r>
        <w:t xml:space="preserve">Confirm the agreement vests management and investment authority in the manager and enumerates the powers being granted: trading, borrowing, short selling, retaining brokers and administrators, settling claims, and organizing subsidiaries or trading vehicles. Read the list as a grant rather than a limit: what is not listed may be swept up by a catch-all. Where the fund invests through master funds, aggregators, or special-purpose vehicles, confirm the authority reaches those structures, since fees and the profit share may be charged at that level too.</w:t>
      </w:r>
    </w:p>
    <w:p>
      <w:pPr>
        <w:keepNext/>
        <w:spacing w:before="200" w:after="80"/>
      </w:pPr>
      <w:r>
        <w:rPr>
          <w:rFonts w:ascii="Segoe UI Symbol" w:hAnsi="Segoe UI Symbol"/>
        </w:rPr>
        <w:t xml:space="preserve">☐  </w:t>
      </w:r>
      <w:r>
        <w:rPr>
          <w:b/>
        </w:rPr>
        <w:t xml:space="preserve">4.2  </w:t>
      </w:r>
      <w:r>
        <w:rPr>
          <w:b/>
        </w:rPr>
        <w:t xml:space="preserve">Authority allocated and investor governance rights flagged</w:t>
      </w:r>
      <w:r>
        <w:t xml:space="preserve"> — Recommended (SHOULD)</w:t>
      </w:r>
    </w:p>
    <w:p>
      <w:pPr>
        <w:spacing w:before="0" w:after="120"/>
        <w:ind w:left="540"/>
      </w:pPr>
      <w:r>
        <w:t xml:space="preserve">Confirm the agreement identifies the allocation of authority between the general partner and limited partners, and flag investor consent, committee, or advisory rights for jurisdiction-specific review. Do not treat a recital that limited partners do not manage the business as independently preserving limited liability; statutory status and actual conduct remain relevant.</w:t>
      </w:r>
    </w:p>
    <w:p>
      <w:pPr>
        <w:keepNext/>
        <w:spacing w:before="200" w:after="80"/>
      </w:pPr>
      <w:r>
        <w:rPr>
          <w:rFonts w:ascii="Segoe UI Symbol" w:hAnsi="Segoe UI Symbol"/>
        </w:rPr>
        <w:t xml:space="preserve">☐  </w:t>
      </w:r>
      <w:r>
        <w:rPr>
          <w:b/>
        </w:rPr>
        <w:t xml:space="preserve">4.3  </w:t>
      </w:r>
      <w:r>
        <w:rPr>
          <w:b/>
        </w:rPr>
        <w:t xml:space="preserve">The conduct carved out of the manager's protection</w:t>
      </w:r>
      <w:r>
        <w:t xml:space="preserve"> — Recommended (SHOULD)</w:t>
      </w:r>
    </w:p>
    <w:p>
      <w:pPr>
        <w:spacing w:before="0" w:after="120"/>
        <w:ind w:left="540"/>
      </w:pPr>
      <w:r>
        <w:t xml:space="preserve">Read the exculpation carve-out word by word and count what is in it, because each word is a route to recovery that would otherwise be closed. Filed carve-outs include gross negligence, willful misconduct, and bad faith alone; the longer </w:t>
      </w:r>
      <w:r>
        <w:t xml:space="preserve">“fraud, bad faith, willful misconduct, gross negligence, a willful and material breach of this Agreement”</w:t>
      </w:r>
      <w:r>
        <w:t xml:space="preserve">; and the Investment Company Act formulation of willful misfeasance, bad faith, gross negligence, or reckless disregard. Delaware permits a partnership agreement to limit or eliminate liability for breach of duty, so a short list is enforceable, not a drafting slip, which is exactly why it needs reading rather than skimming.</w:t>
      </w:r>
    </w:p>
    <w:p>
      <w:pPr>
        <w:keepNext/>
        <w:spacing w:before="200" w:after="80"/>
      </w:pPr>
      <w:r>
        <w:rPr>
          <w:rFonts w:ascii="Segoe UI Symbol" w:hAnsi="Segoe UI Symbol"/>
        </w:rPr>
        <w:t xml:space="preserve">☐  </w:t>
      </w:r>
      <w:r>
        <w:rPr>
          <w:b/>
        </w:rPr>
        <w:t xml:space="preserve">4.4  </w:t>
      </w:r>
      <w:r>
        <w:rPr>
          <w:b/>
        </w:rPr>
        <w:t xml:space="preserve">Whether fiduciary duties are restricted or eliminated</w:t>
      </w:r>
      <w:r>
        <w:t xml:space="preserve"> — Prohibited (MUST NOT)</w:t>
      </w:r>
    </w:p>
    <w:p>
      <w:pPr>
        <w:spacing w:before="0" w:after="120"/>
        <w:ind w:left="540"/>
      </w:pPr>
      <w:r>
        <w:t xml:space="preserve">Look for language expanding, restricting, or eliminating the duties the manager would otherwise owe, and for a standard such as sole discretion attached to decisions that affect investors' economics. Delaware provides that duties </w:t>
      </w:r>
      <w:r>
        <w:t xml:space="preserve">“may be expanded or restricted or eliminated by provisions in the partnership agreement”</w:t>
      </w:r>
      <w:r>
        <w:t xml:space="preserve">, subject to one floor: the implied contractual covenant of good faith and fair dealing cannot be eliminated. Confirm the agreement does not purport to waive that covenant, and treat any broad duty-elimination clause as a point to raise with counsel rather than boilerplate.</w:t>
      </w:r>
    </w:p>
    <w:p>
      <w:pPr>
        <w:keepNext/>
        <w:spacing w:before="200" w:after="80"/>
      </w:pPr>
      <w:r>
        <w:rPr>
          <w:rFonts w:ascii="Segoe UI Symbol" w:hAnsi="Segoe UI Symbol"/>
        </w:rPr>
        <w:t xml:space="preserve">☐  </w:t>
      </w:r>
      <w:r>
        <w:rPr>
          <w:b/>
        </w:rPr>
        <w:t xml:space="preserve">4.5  </w:t>
      </w:r>
      <w:r>
        <w:rPr>
          <w:b/>
        </w:rPr>
        <w:t xml:space="preserve">Indemnity of the manager and advancement of expenses</w:t>
      </w:r>
      <w:r>
        <w:t xml:space="preserve"> — Recommended (SHOULD)</w:t>
      </w:r>
    </w:p>
    <w:p>
      <w:pPr>
        <w:spacing w:before="0" w:after="120"/>
        <w:ind w:left="540"/>
      </w:pPr>
      <w:r>
        <w:t xml:space="preserve">Confirm the fund's indemnity of the manager, its affiliates, and their personnel carries the same conduct categories as the liability clause. A final-merits condition on the indemnity exception can still make indemnification broader than exculpation: a settlement without a merits decision may leave fund assets paying a claim alleging those categories. Check whether legal costs are advanced as they are incurred and, if so, whether the recipient must undertake to repay them if the carve-out is later established. Check too whether the indemnity is payable only out of fund assets rather than by the investors personally.</w:t>
      </w:r>
    </w:p>
    <w:p>
      <w:pPr>
        <w:keepNext/>
        <w:spacing w:before="200" w:after="80"/>
      </w:pPr>
      <w:r>
        <w:rPr>
          <w:rFonts w:ascii="Segoe UI Symbol" w:hAnsi="Segoe UI Symbol"/>
        </w:rPr>
        <w:t xml:space="preserve">☐  </w:t>
      </w:r>
      <w:r>
        <w:rPr>
          <w:b/>
        </w:rPr>
        <w:t xml:space="preserve">4.6  </w:t>
      </w:r>
      <w:r>
        <w:rPr>
          <w:b/>
        </w:rPr>
        <w:t xml:space="preserve">Manager free to run other funds and trade for its own account</w:t>
      </w:r>
      <w:r>
        <w:t xml:space="preserve"> — Recommended (SHOULD)</w:t>
      </w:r>
    </w:p>
    <w:p>
      <w:pPr>
        <w:spacing w:before="0" w:after="120"/>
        <w:ind w:left="540"/>
      </w:pPr>
      <w:r>
        <w:t xml:space="preserve">Confirm the agreement says plainly that the manager need not devote its full time to this fund and may manage other accounts, including competing ones, without accounting to the fund for the results. This is not the problem in itself; the problem is a fund whose offering materials imply exclusivity the agreement does not require. Where the manager runs parallel vehicles, check for an allocation-of-opportunities provision and for how principal and cross transactions between affiliated funds are authorized.</w:t>
      </w:r>
    </w:p>
    <w:p>
      <w:pPr>
        <w:keepNext/>
        <w:spacing w:before="200" w:after="80"/>
      </w:pPr>
      <w:r>
        <w:rPr>
          <w:rFonts w:ascii="Segoe UI Symbol" w:hAnsi="Segoe UI Symbol"/>
        </w:rPr>
        <w:t xml:space="preserve">☐  </w:t>
      </w:r>
      <w:r>
        <w:rPr>
          <w:b/>
        </w:rPr>
        <w:t xml:space="preserve">4.7  </w:t>
      </w:r>
      <w:r>
        <w:rPr>
          <w:b/>
        </w:rPr>
        <w:t xml:space="preserve">Authority to give individual investors different terms</w:t>
      </w:r>
      <w:r>
        <w:t xml:space="preserve"> — Recommended (SHOULD)</w:t>
      </w:r>
    </w:p>
    <w:p>
      <w:pPr>
        <w:spacing w:before="0" w:after="120"/>
        <w:ind w:left="540"/>
      </w:pPr>
      <w:r>
        <w:t xml:space="preserve">Check whether the agreement expressly authorizes separate written agreements with individual investors that modify its terms, since without that authority a side letter sits awkwardly against the agreement it contradicts. Some filed agreements authorize side letters expressly, whether defined as </w:t>
      </w:r>
      <w:r>
        <w:t xml:space="preserve">“side letters or similar separate written agreements, the provisions of which may modify the terms of this Agreement”</w:t>
      </w:r>
      <w:r>
        <w:t xml:space="preserve"> or as agreements with certain limited partners altering or supplementing its terms. Where the power exists, note whether anything requires disclosure to other investors or a most-favoured-nation election.</w:t>
      </w:r>
      <w:r>
        <w:t xml:space="preserve"> Where the agreement makes qualified-client status an admission condition for every investor, check whether the side-letter clause carves eligibility out of what a side letter may change and, if it lets the general partner waive the qualified-client screen, confirm that the waiver is available only to a manager neither registered nor required to be registered with the Commission, so that section 205(a)(1) does not reach it,</w:t>
      </w:r>
      <w:r>
        <w:t xml:space="preserve"> that it is conditioned, after checking the law of each state where the manager is registered, is required to be registered, or relies on a registration exemption, on that law neither applying the same restriction to the manager nor tying the exemption to every investor being a qualified client, that the performance allocation stops for a waived investor if a later change would make charging it unlawful, and that the waiver is disclosed in the memorandum. The offering-eligibility requirement, accredited-investor status or eligibility under the exemption on which the offering relies, should stay non-waivable.</w:t>
      </w:r>
    </w:p>
    <w:p>
      <w:pPr>
        <w:keepNext/>
        <w:spacing w:before="360" w:after="160"/>
      </w:pPr>
      <w:r>
        <w:rPr>
          <w:b/>
          <w:sz w:val="28"/>
          <w:szCs w:val="28"/>
        </w:rPr>
        <w:t xml:space="preserve">5. Costs, Reports and Valuation</w:t>
      </w:r>
    </w:p>
    <w:p>
      <w:pPr>
        <w:spacing w:before="0" w:after="120"/>
      </w:pPr>
      <w:r>
        <w:t xml:space="preserve">The fee is the visible price; the expense article is the rest of it. What follows is the boundary between what the fund pays and what the manager absorbs, plus the three terms an investor needs to check every other number: audit, tax information, and who sets net asset value.</w:t>
      </w:r>
    </w:p>
    <w:p>
      <w:pPr>
        <w:keepNext/>
        <w:spacing w:before="200" w:after="80"/>
      </w:pPr>
      <w:r>
        <w:rPr>
          <w:rFonts w:ascii="Segoe UI Symbol" w:hAnsi="Segoe UI Symbol"/>
        </w:rPr>
        <w:t xml:space="preserve">☐  </w:t>
      </w:r>
      <w:r>
        <w:rPr>
          <w:b/>
        </w:rPr>
        <w:t xml:space="preserve">5.1  </w:t>
      </w:r>
      <w:r>
        <w:rPr>
          <w:b/>
        </w:rPr>
        <w:t xml:space="preserve">Expenses the fund bears, enumerated</w:t>
      </w:r>
      <w:r>
        <w:t xml:space="preserve"> — Recommended (SHOULD)</w:t>
      </w:r>
    </w:p>
    <w:p>
      <w:pPr>
        <w:spacing w:before="0" w:after="120"/>
        <w:ind w:left="540"/>
      </w:pPr>
      <w:r>
        <w:t xml:space="preserve">Confirm the agreement lists the costs charged to the fund: brokerage and trading costs, legal, audit, administration, custody, research, insurance, regulatory filings, and taxes. Read the length of the list as the substance: a short list with a broad catch-all shifts more to investors than a long enumerated one, because the catch-all is what a disputed charge will be argued under. Check specifically for research and data costs, insurance premiums covering the manager, and the costs of organizing subsidiaries or trading vehicles.</w:t>
      </w:r>
    </w:p>
    <w:p>
      <w:pPr>
        <w:keepNext/>
        <w:spacing w:before="200" w:after="80"/>
      </w:pPr>
      <w:r>
        <w:rPr>
          <w:rFonts w:ascii="Segoe UI Symbol" w:hAnsi="Segoe UI Symbol"/>
        </w:rPr>
        <w:t xml:space="preserve">☐  </w:t>
      </w:r>
      <w:r>
        <w:rPr>
          <w:b/>
        </w:rPr>
        <w:t xml:space="preserve">5.2  </w:t>
      </w:r>
      <w:r>
        <w:rPr>
          <w:b/>
        </w:rPr>
        <w:t xml:space="preserve">Manager's own overhead kept off the fund</w:t>
      </w:r>
      <w:r>
        <w:t xml:space="preserve"> — Recommended (SHOULD)</w:t>
      </w:r>
    </w:p>
    <w:p>
      <w:pPr>
        <w:spacing w:before="0" w:after="120"/>
        <w:ind w:left="540"/>
      </w:pPr>
      <w:r>
        <w:t xml:space="preserve">Confirm the manager's office rent, personnel costs, and general overhead sit with the manager rather than the fund, so the management fee is what pays for them. This is the boundary where expense disputes actually arise, and limited partnership agreements filed with the SEC include putting organizational expenses and all costs other than legal, audit, accounting, reporting, and trading costs on the general partner, and paying the general partner up to one percent per annum of fund capital expressly to cover overhead. Where overhead is reimbursed rather than absorbed, treat that as part of the fee stack and read it with the fee items.</w:t>
      </w:r>
    </w:p>
    <w:p>
      <w:pPr>
        <w:keepNext/>
        <w:spacing w:before="200" w:after="80"/>
      </w:pPr>
      <w:r>
        <w:rPr>
          <w:rFonts w:ascii="Segoe UI Symbol" w:hAnsi="Segoe UI Symbol"/>
        </w:rPr>
        <w:t xml:space="preserve">☐  </w:t>
      </w:r>
      <w:r>
        <w:rPr>
          <w:b/>
        </w:rPr>
        <w:t xml:space="preserve">5.3  </w:t>
      </w:r>
      <w:r>
        <w:rPr>
          <w:b/>
        </w:rPr>
        <w:t xml:space="preserve">Ceiling on total expenses charged to the fund</w:t>
      </w:r>
      <w:r>
        <w:t xml:space="preserve"> — Optional (MAY)</w:t>
      </w:r>
    </w:p>
    <w:p>
      <w:pPr>
        <w:spacing w:before="0" w:after="120"/>
        <w:ind w:left="540"/>
      </w:pPr>
      <w:r>
        <w:t xml:space="preserve">Check whether anything caps total fund expenses at a percentage of net assets and requires the manager to absorb or reimburse the excess. Where filed agreements cap expenses, the levels differ by structure: filed caps include specified expenses held to 0.60% for a first twelve months, total expenses held to 1.25% through fee waivers and reimbursement, and reimbursement of expenses above 1.75% of average net assets. Where a cap exists, read what it excludes: filed caps exclude items such as trading costs, taxes, indemnification, and underlying-fund fees, and the carve-outs can be larger than the cap.</w:t>
      </w:r>
    </w:p>
    <w:p>
      <w:pPr>
        <w:keepNext/>
        <w:spacing w:before="200" w:after="80"/>
      </w:pPr>
      <w:r>
        <w:rPr>
          <w:rFonts w:ascii="Segoe UI Symbol" w:hAnsi="Segoe UI Symbol"/>
        </w:rPr>
        <w:t xml:space="preserve">☐  </w:t>
      </w:r>
      <w:r>
        <w:rPr>
          <w:b/>
        </w:rPr>
        <w:t xml:space="preserve">5.4  </w:t>
      </w:r>
      <w:r>
        <w:rPr>
          <w:b/>
        </w:rPr>
        <w:t xml:space="preserve">Audit promise, standard, auditor, deadline, and liquidation treatment stated</w:t>
      </w:r>
      <w:r>
        <w:t xml:space="preserve"> — Recommended (SHOULD)</w:t>
      </w:r>
    </w:p>
    <w:p>
      <w:pPr>
        <w:spacing w:before="0" w:after="120"/>
        <w:ind w:left="540"/>
      </w:pPr>
      <w:r>
        <w:t xml:space="preserve">Confirm the agreement states whether an annual audit is promised, the accounting standard, the auditor qualification, the delivery deadline, and the treatment on liquidation. An annual audit is strong practice but is not universal merely because an adviser has custody; the separate conditional Rule 206(4)-2 item applies if the adviser relies on the pooled-vehicle audit route.</w:t>
      </w:r>
    </w:p>
    <w:p>
      <w:pPr>
        <w:keepNext/>
        <w:spacing w:before="200" w:after="80"/>
      </w:pPr>
      <w:r>
        <w:rPr>
          <w:rFonts w:ascii="Segoe UI Symbol" w:hAnsi="Segoe UI Symbol"/>
        </w:rPr>
        <w:t xml:space="preserve">☐  </w:t>
      </w:r>
      <w:r>
        <w:rPr>
          <w:b/>
        </w:rPr>
        <w:t xml:space="preserve">5.5  </w:t>
      </w:r>
      <w:r>
        <w:rPr>
          <w:b/>
        </w:rPr>
        <w:t xml:space="preserve">Rule 206(4)-2 pooled-vehicle audit route satisfied when relied on</w:t>
      </w:r>
      <w:r>
        <w:t xml:space="preserve"> — Recommended (SHOULD)</w:t>
      </w:r>
    </w:p>
    <w:p>
      <w:pPr>
        <w:spacing w:before="0" w:after="120"/>
        <w:ind w:left="540"/>
      </w:pPr>
      <w:r>
        <w:t xml:space="preserve">If the adviser is registered or required to be registered with the Commission and relies on the pooled-vehicle audit route, confirm the agreement requires annual GAAP audits, delivery to all investors within 120 days after fiscal year end, an independent public accountant registered with and subject to regular PCAOB inspection, and a liquidation audit distributed promptly after completion.</w:t>
      </w:r>
    </w:p>
    <w:p>
      <w:pPr>
        <w:keepNext/>
        <w:spacing w:before="200" w:after="80"/>
      </w:pPr>
      <w:r>
        <w:rPr>
          <w:rFonts w:ascii="Segoe UI Symbol" w:hAnsi="Segoe UI Symbol"/>
        </w:rPr>
        <w:t xml:space="preserve">☐  </w:t>
      </w:r>
      <w:r>
        <w:rPr>
          <w:b/>
        </w:rPr>
        <w:t xml:space="preserve">5.6  </w:t>
      </w:r>
      <w:r>
        <w:rPr>
          <w:b/>
        </w:rPr>
        <w:t xml:space="preserve">Annual tax information for investors</w:t>
      </w:r>
      <w:r>
        <w:t xml:space="preserve"> — Recommended (SHOULD)</w:t>
      </w:r>
    </w:p>
    <w:p>
      <w:pPr>
        <w:spacing w:before="0" w:after="120"/>
        <w:ind w:left="540"/>
      </w:pPr>
      <w:r>
        <w:t xml:space="preserve">Confirm the fund must furnish each investor the information it needs to file its own returns for the year. Check whether the agreement commits to a date or only to reasonable promptness: a fund that regularly delivers after the individual filing deadline forces every investor into an extension, and the agreement is where that expectation should be set. Where investors include tax-exempt or non-US persons, confirm the agreement addresses the additional reporting they will need.</w:t>
      </w:r>
    </w:p>
    <w:p>
      <w:pPr>
        <w:keepNext/>
        <w:spacing w:before="200" w:after="80"/>
      </w:pPr>
      <w:r>
        <w:rPr>
          <w:rFonts w:ascii="Segoe UI Symbol" w:hAnsi="Segoe UI Symbol"/>
        </w:rPr>
        <w:t xml:space="preserve">☐  </w:t>
      </w:r>
      <w:r>
        <w:rPr>
          <w:b/>
        </w:rPr>
        <w:t xml:space="preserve">5.7  </w:t>
      </w:r>
      <w:r>
        <w:rPr>
          <w:b/>
        </w:rPr>
        <w:t xml:space="preserve">Who values the portfolio, and on what standard</w:t>
      </w:r>
      <w:r>
        <w:t xml:space="preserve"> — Recommended (SHOULD)</w:t>
      </w:r>
    </w:p>
    <w:p>
      <w:pPr>
        <w:spacing w:before="0" w:after="120"/>
        <w:ind w:left="540"/>
      </w:pPr>
      <w:r>
        <w:t xml:space="preserve">Confirm the agreement says who values the fund's assets and against what standard: market prices where available, fair value determined in good faith otherwise, and any named valuation policy incorporated by reference. Every other number in the agreement is calculated off this one: the management fee, the profit share, and the amount a withdrawing investor receives. Check whether the manager's determination is conclusive on investors, whether hard-to-value positions get an independent check, and whether the agreement permits different values for the audited statements and for internal purposes.</w:t>
      </w:r>
    </w:p>
    <w:p>
      <w:pPr>
        <w:keepNext/>
        <w:spacing w:before="200" w:after="80"/>
      </w:pPr>
      <w:r>
        <w:rPr>
          <w:rFonts w:ascii="Segoe UI Symbol" w:hAnsi="Segoe UI Symbol"/>
        </w:rPr>
        <w:t xml:space="preserve">☐  </w:t>
      </w:r>
      <w:r>
        <w:rPr>
          <w:b/>
        </w:rPr>
        <w:t xml:space="preserve">5.8  </w:t>
      </w:r>
      <w:r>
        <w:rPr>
          <w:b/>
        </w:rPr>
        <w:t xml:space="preserve">Confidentiality obligations and the right to withhold information</w:t>
      </w:r>
      <w:r>
        <w:t xml:space="preserve"> — Recommended (SHOULD)</w:t>
      </w:r>
    </w:p>
    <w:p>
      <w:pPr>
        <w:spacing w:before="0" w:after="120"/>
        <w:ind w:left="540"/>
      </w:pPr>
      <w:r>
        <w:t xml:space="preserve">Read the confidentiality article from both directions. One half restricts what an investor may do with information about the fund's positions and its other investors; the other half lets the manager withhold information it considers proprietary, which narrows the books-and-records right an investor would otherwise have. Check whether the manager's withholding right is bounded by a category such as trade secrets or is at large, and whether the confidentiality obligation carves out disclosures compelled by law or by a regulator.</w:t>
      </w:r>
    </w:p>
    <w:p>
      <w:pPr>
        <w:keepNext/>
        <w:spacing w:before="360" w:after="160"/>
      </w:pPr>
      <w:r>
        <w:rPr>
          <w:b/>
          <w:sz w:val="28"/>
          <w:szCs w:val="28"/>
        </w:rPr>
        <w:t xml:space="preserve">6. Changing the Deal and Winding Down</w:t>
      </w:r>
    </w:p>
    <w:p>
      <w:pPr>
        <w:spacing w:before="0" w:after="120"/>
      </w:pPr>
      <w:r>
        <w:t xml:space="preserve">An agreement an investor cannot leave quickly is only as good as the rules for changing it.</w:t>
      </w:r>
    </w:p>
    <w:p>
      <w:pPr>
        <w:keepNext/>
        <w:spacing w:before="200" w:after="80"/>
      </w:pPr>
      <w:r>
        <w:rPr>
          <w:rFonts w:ascii="Segoe UI Symbol" w:hAnsi="Segoe UI Symbol"/>
        </w:rPr>
        <w:t xml:space="preserve">☐  </w:t>
      </w:r>
      <w:r>
        <w:rPr>
          <w:b/>
        </w:rPr>
        <w:t xml:space="preserve">6.1  </w:t>
      </w:r>
      <w:r>
        <w:rPr>
          <w:b/>
        </w:rPr>
        <w:t xml:space="preserve">Investor consent required to amend the agreement</w:t>
      </w:r>
      <w:r>
        <w:t xml:space="preserve"> — Recommended (SHOULD)</w:t>
      </w:r>
    </w:p>
    <w:p>
      <w:pPr>
        <w:spacing w:before="0" w:after="120"/>
        <w:ind w:left="540"/>
      </w:pPr>
      <w:r>
        <w:t xml:space="preserve">Confirm the agreement states what consent an amendment requires. Filed consent thresholds include the general partner plus partners holding at least half the capital-account value, fifty-one percent of interests, more than half of the affected accounts, and the consent of all partners. Check whether an investor whose own economics are singled out has a separate protection; some filed agreements bar an amendment to a partner's allocations without that partner's consent.</w:t>
      </w:r>
    </w:p>
    <w:p>
      <w:pPr>
        <w:keepNext/>
        <w:spacing w:before="200" w:after="80"/>
      </w:pPr>
      <w:r>
        <w:rPr>
          <w:rFonts w:ascii="Segoe UI Symbol" w:hAnsi="Segoe UI Symbol"/>
        </w:rPr>
        <w:t xml:space="preserve">☐  </w:t>
      </w:r>
      <w:r>
        <w:rPr>
          <w:b/>
        </w:rPr>
        <w:t xml:space="preserve">6.2  </w:t>
      </w:r>
      <w:r>
        <w:rPr>
          <w:b/>
        </w:rPr>
        <w:t xml:space="preserve">Manager's power to amend without investor consent</w:t>
      </w:r>
      <w:r>
        <w:t xml:space="preserve"> — Recommended (SHOULD)</w:t>
      </w:r>
    </w:p>
    <w:p>
      <w:pPr>
        <w:spacing w:before="0" w:after="120"/>
        <w:ind w:left="540"/>
      </w:pPr>
      <w:r>
        <w:t xml:space="preserve">Read the manager's unilateral amendment power and check what bounds it. A limit to changes that are not adverse, or not materially adverse, can sit beside a list of housekeeping categories (curing ambiguities, admitting partners, satisfying a tax or regulatory requirement) and beside separate routes that permit adverse changes. The power can be drafted broadly, permitting amendment </w:t>
      </w:r>
      <w:r>
        <w:t xml:space="preserve">“without notification to, or the consent of the Limited Partners”</w:t>
      </w:r>
      <w:r>
        <w:t xml:space="preserve"> so long as it is not materially adverse. Note who decides whether a change is materially adverse; where the agreement leaves that to the manager, the limit is thinner than it reads. Limited partnership agreements filed with the SEC include a special power to amend tax-allocation provisions to comply with the regulations, and adverse changes conditioned on the consent of each affected partner, on independent-director approval with notice and redemption offers, or on a reasonable opportunity for an affected investor to withdraw first.</w:t>
      </w:r>
    </w:p>
    <w:p>
      <w:pPr>
        <w:keepNext/>
        <w:spacing w:before="200" w:after="80"/>
      </w:pPr>
      <w:r>
        <w:rPr>
          <w:rFonts w:ascii="Segoe UI Symbol" w:hAnsi="Segoe UI Symbol"/>
        </w:rPr>
        <w:t xml:space="preserve">☐  </w:t>
      </w:r>
      <w:r>
        <w:rPr>
          <w:b/>
        </w:rPr>
        <w:t xml:space="preserve">6.3  </w:t>
      </w:r>
      <w:r>
        <w:rPr>
          <w:b/>
        </w:rPr>
        <w:t xml:space="preserve">Events that dissolve the fund</w:t>
      </w:r>
      <w:r>
        <w:t xml:space="preserve"> — Recommended (SHOULD)</w:t>
      </w:r>
    </w:p>
    <w:p>
      <w:pPr>
        <w:spacing w:before="0" w:after="120"/>
        <w:ind w:left="540"/>
      </w:pPr>
      <w:r>
        <w:t xml:space="preserve">Confirm the agreement lists what dissolves the fund rather than leaving it to the statutory defaults, such as the manager's election, its withdrawal, bankruptcy, or removal, expiry of any stated term, a judicial decree, and possibly a stated investor vote or a floor on net assets. Check whether the fund continues if the general partner ceases to serve, and if so on what mechanic, since a fund that dissolves automatically on that event has a materially different risk profile.</w:t>
      </w:r>
    </w:p>
    <w:p>
      <w:pPr>
        <w:keepNext/>
        <w:spacing w:before="200" w:after="80"/>
      </w:pPr>
      <w:r>
        <w:rPr>
          <w:rFonts w:ascii="Segoe UI Symbol" w:hAnsi="Segoe UI Symbol"/>
        </w:rPr>
        <w:t xml:space="preserve">☐  </w:t>
      </w:r>
      <w:r>
        <w:rPr>
          <w:b/>
        </w:rPr>
        <w:t xml:space="preserve">6.4  </w:t>
      </w:r>
      <w:r>
        <w:rPr>
          <w:b/>
        </w:rPr>
        <w:t xml:space="preserve">Order of payment on a wind-up, and who liquidates</w:t>
      </w:r>
      <w:r>
        <w:t xml:space="preserve"> — Recommended (SHOULD)</w:t>
      </w:r>
    </w:p>
    <w:p>
      <w:pPr>
        <w:spacing w:before="0" w:after="120"/>
        <w:ind w:left="540"/>
      </w:pPr>
      <w:r>
        <w:t xml:space="preserve">Confirm the agreement sets the order in which assets are applied on liquidation (creditors, then reserves for contingent liabilities, then amounts owed to partners otherwise than on account of capital, then the capital accounts) and names who acts as liquidator. Check how reserves are sized and when any unused reserve is released, and confirm the treatment of an accrued but uncrystallized profit share, which is otherwise a live question at exactly the moment nobody wants one.</w:t>
      </w:r>
    </w:p>
    <w:p>
      <w:pPr>
        <w:keepNext/>
        <w:spacing w:before="360" w:after="160"/>
      </w:pPr>
      <w:r>
        <w:rPr>
          <w:b/>
          <w:sz w:val="28"/>
          <w:szCs w:val="28"/>
        </w:rPr>
        <w:t xml:space="preserve">7. Formation and General Terms</w:t>
      </w:r>
    </w:p>
    <w:p>
      <w:pPr>
        <w:spacing w:before="0" w:after="120"/>
      </w:pPr>
      <w:r>
        <w:t xml:space="preserve">These rarely change an investment decision, but they decide what happens when something goes wrong.</w:t>
      </w:r>
    </w:p>
    <w:p>
      <w:pPr>
        <w:keepNext/>
        <w:spacing w:before="200" w:after="80"/>
      </w:pPr>
      <w:r>
        <w:rPr>
          <w:rFonts w:ascii="Segoe UI Symbol" w:hAnsi="Segoe UI Symbol"/>
        </w:rPr>
        <w:t xml:space="preserve">☐  </w:t>
      </w:r>
      <w:r>
        <w:rPr>
          <w:b/>
        </w:rPr>
        <w:t xml:space="preserve">7.1  </w:t>
      </w:r>
      <w:r>
        <w:rPr>
          <w:b/>
        </w:rPr>
        <w:t xml:space="preserve">Delaware formation statute named</w:t>
      </w:r>
      <w:r>
        <w:t xml:space="preserve"> — Recommended (SHOULD)</w:t>
      </w:r>
    </w:p>
    <w:p>
      <w:pPr>
        <w:spacing w:before="0" w:after="120"/>
        <w:ind w:left="540"/>
      </w:pPr>
      <w:r>
        <w:t xml:space="preserve">Confirm the agreement names the Delaware Revised Uniform Limited Partnership Act as the statute under which the fund is formed. The statute supplies defaults the agreement does not displace, but omission of the recital does not itself change the entity's formation or make the economics unpriceable.</w:t>
      </w:r>
    </w:p>
    <w:p>
      <w:pPr>
        <w:keepNext/>
        <w:spacing w:before="200" w:after="80"/>
      </w:pPr>
      <w:r>
        <w:rPr>
          <w:rFonts w:ascii="Segoe UI Symbol" w:hAnsi="Segoe UI Symbol"/>
        </w:rPr>
        <w:t xml:space="preserve">☐  </w:t>
      </w:r>
      <w:r>
        <w:rPr>
          <w:b/>
        </w:rPr>
        <w:t xml:space="preserve">7.2  </w:t>
      </w:r>
      <w:r>
        <w:rPr>
          <w:b/>
        </w:rPr>
        <w:t xml:space="preserve">Delaware governing law identified</w:t>
      </w:r>
      <w:r>
        <w:t xml:space="preserve"> — Recommended (SHOULD)</w:t>
      </w:r>
    </w:p>
    <w:p>
      <w:pPr>
        <w:spacing w:before="0" w:after="120"/>
        <w:ind w:left="540"/>
      </w:pPr>
      <w:r>
        <w:t xml:space="preserve">Confirm the agreement selects Delaware governing law and identify any article governed by another law. Treat a split choice as deliberate only after confirming it is not a drafting artifact of an incorporated annex.</w:t>
      </w:r>
    </w:p>
    <w:p>
      <w:pPr>
        <w:keepNext/>
        <w:spacing w:before="200" w:after="80"/>
      </w:pPr>
      <w:r>
        <w:rPr>
          <w:rFonts w:ascii="Segoe UI Symbol" w:hAnsi="Segoe UI Symbol"/>
        </w:rPr>
        <w:t xml:space="preserve">☐  </w:t>
      </w:r>
      <w:r>
        <w:rPr>
          <w:b/>
        </w:rPr>
        <w:t xml:space="preserve">7.3  </w:t>
      </w:r>
      <w:r>
        <w:rPr>
          <w:b/>
        </w:rPr>
        <w:t xml:space="preserve">Where disputes are heard</w:t>
      </w:r>
      <w:r>
        <w:t xml:space="preserve"> — Recommended (SHOULD)</w:t>
      </w:r>
    </w:p>
    <w:p>
      <w:pPr>
        <w:spacing w:before="0" w:after="120"/>
        <w:ind w:left="540"/>
      </w:pPr>
      <w:r>
        <w:t xml:space="preserve">Check whether disputes go to court or to arbitration, and note which, because the two differ in cost, speed, appealability, and whether anything becomes public. Limited partnership agreements filed with the SEC include no forum clause, Delaware or New York courts, and an arbitration clause providing that disputes, </w:t>
      </w:r>
      <w:r>
        <w:t xml:space="preserve">“including any claims of arbitrability, shall be finally settled by arbitration”</w:t>
      </w:r>
      <w:r>
        <w:t xml:space="preserve">. Where arbitration is chosen, confirm the seat, the rules, the number of arbitrators, and whether the clause reaches claims against the manager as well as against the fund.</w:t>
      </w:r>
    </w:p>
    <w:p>
      <w:pPr>
        <w:keepNext/>
        <w:spacing w:before="200" w:after="80"/>
      </w:pPr>
      <w:r>
        <w:rPr>
          <w:rFonts w:ascii="Segoe UI Symbol" w:hAnsi="Segoe UI Symbol"/>
        </w:rPr>
        <w:t xml:space="preserve">☐  </w:t>
      </w:r>
      <w:r>
        <w:rPr>
          <w:b/>
        </w:rPr>
        <w:t xml:space="preserve">7.4  </w:t>
      </w:r>
      <w:r>
        <w:rPr>
          <w:b/>
        </w:rPr>
        <w:t xml:space="preserve">Power of attorney scoped when one is granted</w:t>
      </w:r>
      <w:r>
        <w:t xml:space="preserve"> — Recommended (SHOULD)</w:t>
      </w:r>
    </w:p>
    <w:p>
      <w:pPr>
        <w:spacing w:before="0" w:after="120"/>
        <w:ind w:left="540"/>
      </w:pPr>
      <w:r>
        <w:t xml:space="preserve">If the agreement grants the manager a power of attorney, confirm it states the scope and enumerates the authorized acts. Absence of a power is not itself a defect; where one exists, flag language that lets the manager sign amendments or other instruments beyond the authority otherwise granted by the agreement.</w:t>
      </w:r>
    </w:p>
    <w:p>
      <w:pPr>
        <w:keepNext/>
        <w:spacing w:before="200" w:after="80"/>
      </w:pPr>
      <w:r>
        <w:rPr>
          <w:rFonts w:ascii="Segoe UI Symbol" w:hAnsi="Segoe UI Symbol"/>
        </w:rPr>
        <w:t xml:space="preserve">☐  </w:t>
      </w:r>
      <w:r>
        <w:rPr>
          <w:b/>
        </w:rPr>
        <w:t xml:space="preserve">7.5  </w:t>
      </w:r>
      <w:r>
        <w:rPr>
          <w:b/>
        </w:rPr>
        <w:t xml:space="preserve">Cross-document check: investor eligibility representations compared</w:t>
      </w:r>
      <w:r>
        <w:t xml:space="preserve"> — Recommended (SHOULD)</w:t>
      </w:r>
    </w:p>
    <w:p>
      <w:pPr>
        <w:spacing w:before="0" w:after="120"/>
        <w:ind w:left="540"/>
      </w:pPr>
      <w:r>
        <w:t xml:space="preserve">Compare any investor-eligibility representations in the limited partnership agreement with the subscription agreement. Record the documents and versions compared, the reviewer, and the review date. This is a cross-document prompt carried here for now; the collection and verification of investor representations belong in a separate offering-compliance and closing checklist.</w:t>
      </w:r>
    </w:p>
    <w:p>
      <w:pPr>
        <w:keepNext/>
        <w:spacing w:before="200" w:after="80"/>
      </w:pPr>
      <w:r>
        <w:rPr>
          <w:rFonts w:ascii="Segoe UI Symbol" w:hAnsi="Segoe UI Symbol"/>
        </w:rPr>
        <w:t xml:space="preserve">☐  </w:t>
      </w:r>
      <w:r>
        <w:rPr>
          <w:b/>
        </w:rPr>
        <w:t xml:space="preserve">7.6  </w:t>
      </w:r>
      <w:r>
        <w:rPr>
          <w:b/>
        </w:rPr>
        <w:t xml:space="preserve">Counterparts, notices, severability and entire agreement</w:t>
      </w:r>
      <w:r>
        <w:t xml:space="preserve"> — Recommended (SHOULD)</w:t>
      </w:r>
    </w:p>
    <w:p>
      <w:pPr>
        <w:spacing w:before="0" w:after="120"/>
        <w:ind w:left="540"/>
      </w:pPr>
      <w:r>
        <w:t xml:space="preserve">Confirm the closing mechanics are present and workable: execution in counterparts, so investors admitted at different closings are bound without a single signature page; a notices clause with a delivery method and a deemed-receipt rule; severability; and an entire-agreement clause. Check that the entire-agreement clause is reconciled with the side-letter authority: an unqualified merger clause and an express side-letter power in the same document is a conflict worth resolving before signature rather than after.</w:t>
      </w:r>
    </w:p>
    <w:p>
      <w:pPr>
        <w:spacing w:before="360" w:after="0"/>
      </w:pPr>
      <w:r>
        <w:rPr>
          <w:color w:val="666666"/>
          <w:sz w:val="16"/>
          <w:szCs w:val="16"/>
        </w:rPr>
        <w:t xml:space="preserve">Steven Obiajulu, J.D. edits this reviewer checklist for Hedge fund limited partnership agreement for a fully funded, open-end Delaware limited partnership — not a closed-end drawdown fund such as a private equity fund coverage. It synthesizes legal sources and is not legal advice. This article is for informational purposes only and does not create an attorney-client relationship.</w:t>
      </w:r>
    </w:p>
    <w:sectPr>
      <w:pgSz w:w="12240" w:h="15840"/>
      <w:pgMar w:top="1440" w:right="1440" w:bottom="1440" w:left="1440"/>
    </w:sectPr>
  </w:body>
</w:document>
</file>

<file path=word/styles.xml><?xml version="1.0" encoding="utf-8"?>
<w:styles xmlns:w="http://schemas.openxmlformats.org/wordprocessingml/2006/main">
  <w:docDefaults>
    <w:rPrDefault>
      <w:rPr>
        <w:rFonts w:ascii="Calibri" w:hAnsi="Calibri"/>
        <w:sz w:val="22"/>
        <w:szCs w:val="22"/>
      </w:rPr>
    </w:rPrDefault>
    <w:pPrDefault>
      <w:pPr>
        <w:spacing w:after="120" w:line="276" w:lineRule="auto"/>
      </w:pPr>
    </w:pPrDefault>
  </w:docDefaults>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