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Hedge Fund Subscription Agreement Reviewer Checklist</w:t>
      </w:r>
    </w:p>
    <w:p>
      <w:pPr>
        <w:spacing w:before="0" w:after="120"/>
      </w:pPr>
      <w:r>
        <w:rPr>
          <w:i/>
          <w:color w:val="444444"/>
        </w:rPr>
        <w:t xml:space="preserve">A section-by-section review checklist for a hedge fund subscription agreement for a Delaware limited partnership relying on Section 3(c)(1).</w:t>
      </w:r>
    </w:p>
    <w:p>
      <w:pPr>
        <w:spacing w:before="0" w:after="240"/>
      </w:pPr>
      <w:r>
        <w:rPr>
          <w:color w:val="666666"/>
          <w:sz w:val="18"/>
          <w:szCs w:val="18"/>
        </w:rPr>
        <w:t xml:space="preserve">By Steven Obiajulu, J.D. Last reviewed 2026-09-30. License: CC BY 4.0. https://openagreements.org/checklists/fund-formation/hedge-fund-subscription-agreement</w:t>
      </w:r>
    </w:p>
    <w:p>
      <w:pPr>
        <w:spacing w:before="0" w:after="120"/>
      </w:pPr>
      <w:r>
        <w:t xml:space="preserve">The investor questionnaire has its own </w:t>
      </w:r>
      <w:r>
        <w:t xml:space="preserve">investor questionnaire review checklist</w:t>
      </w:r>
      <w:r>
        <w:t xml:space="preserve">. The </w:t>
      </w:r>
      <w:r>
        <w:t xml:space="preserve">Hedge Fund Formation Practice Guide</w:t>
      </w:r>
      <w:r>
        <w:t xml:space="preserve"> provides more details. Completing or reviewing this checklist does not establish an exemption from registration or compliance with any law, which remain judgments for counsel.</w:t>
      </w:r>
    </w:p>
    <w:p>
      <w:pPr>
        <w:keepNext/>
        <w:spacing w:before="360" w:after="160"/>
      </w:pPr>
      <w:r>
        <w:rPr>
          <w:b/>
          <w:sz w:val="28"/>
          <w:szCs w:val="28"/>
        </w:rPr>
        <w:t xml:space="preserve">1. Subscription and admission</w:t>
      </w:r>
    </w:p>
    <w:p>
      <w:pPr>
        <w:spacing w:before="0" w:after="120"/>
      </w:pPr>
      <w:r>
        <w:t xml:space="preserve">Practice Guide (Subscribing and admission)</w:t>
      </w:r>
    </w:p>
    <w:p>
      <w:pPr>
        <w:keepNext/>
        <w:spacing w:before="200" w:after="80"/>
      </w:pPr>
      <w:r>
        <w:rPr>
          <w:rFonts w:ascii="Segoe UI Symbol" w:hAnsi="Segoe UI Symbol"/>
        </w:rPr>
        <w:t xml:space="preserve">☐  </w:t>
      </w:r>
      <w:r>
        <w:rPr>
          <w:b/>
        </w:rPr>
        <w:t xml:space="preserve">1.1  </w:t>
      </w:r>
      <w:r>
        <w:rPr>
          <w:b/>
        </w:rPr>
        <w:t xml:space="preserve">General partner may accept or reject in whole or part; rejected funds returned</w:t>
      </w:r>
      <w:r>
        <w:t xml:space="preserve"> — Recommended (SHOULD)</w:t>
      </w:r>
    </w:p>
    <w:p>
      <w:pPr>
        <w:spacing w:before="0" w:after="120"/>
        <w:ind w:left="540"/>
      </w:pPr>
      <w:r>
        <w:t xml:space="preserve">Confirm the general partner may accept or reject a subscription in whole or in part, rejected funds are returned promptly, the fund is bound only on acceptance, and the investor cannot revoke the subscription once delivered.</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1.2  </w:t>
      </w:r>
      <w:r>
        <w:rPr>
          <w:b/>
        </w:rPr>
        <w:t xml:space="preserve">Admission and joinder to the partnership agreement, which governs conflicts</w:t>
      </w:r>
      <w:r>
        <w:t xml:space="preserve"> — Recommended (SHOULD)</w:t>
      </w:r>
    </w:p>
    <w:p>
      <w:pPr>
        <w:spacing w:before="0" w:after="120"/>
        <w:ind w:left="540"/>
      </w:pPr>
      <w:r>
        <w:t xml:space="preserve">Confirm the time of admission matches the partnership agreement's admission clause, the investor becomes bound by the partnership agreement when admitted, and the partnership agreement controls if the two documents conflict.</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1.3  </w:t>
      </w:r>
      <w:r>
        <w:rPr>
          <w:b/>
        </w:rPr>
        <w:t xml:space="preserve">Document and funding deadlines stated, with funds from the investor's own account</w:t>
      </w:r>
      <w:r>
        <w:t xml:space="preserve"> — Recommended (SHOULD)</w:t>
      </w:r>
    </w:p>
    <w:p>
      <w:pPr>
        <w:spacing w:before="0" w:after="120"/>
        <w:ind w:left="540"/>
      </w:pPr>
      <w:r>
        <w:t xml:space="preserve">Confirm the agreement states when completed documents and cleared funds must arrive before each subscription date, how funds are sent, that they come from an account at a financial institution where the investor is the customer, and what happens to funds received early, consistently with the memorandum.</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1.4  </w:t>
      </w:r>
      <w:r>
        <w:rPr>
          <w:b/>
        </w:rPr>
        <w:t xml:space="preserve">Shared deal terms taken from the partnership agreement</w:t>
      </w:r>
      <w:r>
        <w:t xml:space="preserve"> — Recommended (SHOULD)</w:t>
      </w:r>
    </w:p>
    <w:p>
      <w:pPr>
        <w:spacing w:before="0" w:after="120"/>
        <w:ind w:left="540"/>
      </w:pPr>
      <w:r>
        <w:t xml:space="preserve">Confirm the fund name, general partner, manager, minimum investment, and subscription date match the partnership agreement and memorandum, and that the agreement refers to the partnership agreement for withdrawal rights, fees, transfers, and dispute resolution rather than restating them.</w:t>
      </w:r>
    </w:p>
    <w:p>
      <w:pPr>
        <w:spacing w:before="0" w:after="120"/>
        <w:ind w:left="540"/>
      </w:pPr>
      <w:r>
        <w:t xml:space="preserve">Examples:</w:t>
      </w:r>
    </w:p>
    <w:p>
      <w:pPr>
        <w:keepNext/>
        <w:spacing w:before="360" w:after="160"/>
      </w:pPr>
      <w:r>
        <w:rPr>
          <w:b/>
          <w:sz w:val="28"/>
          <w:szCs w:val="28"/>
        </w:rPr>
        <w:t xml:space="preserve">2. Eligibility representations</w:t>
      </w:r>
    </w:p>
    <w:p>
      <w:pPr>
        <w:keepNext/>
        <w:spacing w:before="200" w:after="80"/>
      </w:pPr>
      <w:r>
        <w:rPr>
          <w:rFonts w:ascii="Segoe UI Symbol" w:hAnsi="Segoe UI Symbol"/>
        </w:rPr>
        <w:t xml:space="preserve">☐  </w:t>
      </w:r>
      <w:r>
        <w:rPr>
          <w:b/>
        </w:rPr>
        <w:t xml:space="preserve">2.1  </w:t>
      </w:r>
      <w:r>
        <w:rPr>
          <w:b/>
        </w:rPr>
        <w:t xml:space="preserve">Rule 506(c) offering: reasonable steps to verify accredited status</w:t>
      </w:r>
      <w:r>
        <w:t xml:space="preserve"> — Required (MUST)</w:t>
      </w:r>
    </w:p>
    <w:p>
      <w:pPr>
        <w:spacing w:before="0" w:after="120"/>
        <w:ind w:left="540"/>
      </w:pPr>
      <w:r>
        <w:t xml:space="preserve">In a Rule 506(c) offering, every purchaser must be an accredited investor and the fund must take reasonable steps to verify that status.</w:t>
      </w:r>
      <w:r>
        <w:t xml:space="preserve"> In a fact-specific view, SEC staff accepted a minimum investment of at least $200,000 for a natural person or $1,000,000 for an entity accredited by its total assets, on conditions including the purchaser's written representations that it is accredited and that the minimum is not third-party financed for the investment, and the issuer's lack of actual knowledge to the contrary.</w:t>
      </w:r>
      <w:r>
        <w:t xml:space="preserve"> </w:t>
      </w:r>
      <w:r>
        <w:t xml:space="preserve">Practice Guide (Rule 506(b) and 506(c))</w:t>
      </w:r>
    </w:p>
    <w:p>
      <w:pPr>
        <w:keepNext/>
        <w:spacing w:before="200" w:after="80"/>
      </w:pPr>
      <w:r>
        <w:rPr>
          <w:rFonts w:ascii="Segoe UI Symbol" w:hAnsi="Segoe UI Symbol"/>
        </w:rPr>
        <w:t xml:space="preserve">☐  </w:t>
      </w:r>
      <w:r>
        <w:rPr>
          <w:b/>
        </w:rPr>
        <w:t xml:space="preserve">2.2  </w:t>
      </w:r>
      <w:r>
        <w:rPr>
          <w:b/>
        </w:rPr>
        <w:t xml:space="preserve">Performance allocation: qualified-client representation</w:t>
      </w:r>
      <w:r>
        <w:t xml:space="preserve"> — Required (MUST)</w:t>
      </w:r>
    </w:p>
    <w:p>
      <w:pPr>
        <w:spacing w:before="0" w:after="120"/>
        <w:ind w:left="540"/>
      </w:pPr>
      <w:r>
        <w:t xml:space="preserve">The performance allocation must be limited to qualified clients, with each equity owner that bears it through an investing private investment company, registered investment company, or business development company treated as the client, unless the manager is neither registered nor required to be registered with the Commission, such as an exempt reporting adviser (a state-registered manager should check its state's rule; a stricter screen in the partnership agreement still applies).</w:t>
      </w:r>
      <w:r>
        <w:t xml:space="preserve"> Confirm the agreement obtains the qualified-client representation, and that no side-letter waiver of the fund's contractual screen reaches this legal limit. </w:t>
      </w:r>
      <w:r>
        <w:t xml:space="preserve">Practice Guide (Who can be charged a performance fee)</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2.3  </w:t>
      </w:r>
      <w:r>
        <w:rPr>
          <w:b/>
        </w:rPr>
        <w:t xml:space="preserve">Every admission condition in the partnership agreement has a matching representation</w:t>
      </w:r>
      <w:r>
        <w:t xml:space="preserve"> — Recommended (SHOULD)</w:t>
      </w:r>
    </w:p>
    <w:p>
      <w:pPr>
        <w:spacing w:before="0" w:after="120"/>
        <w:ind w:left="540"/>
      </w:pPr>
      <w:r>
        <w:t xml:space="preserve">Confirm the subscription agreement and questionnaire ask for the facts behind every admission condition in the limited partnership agreement, such as accredited-investor status or another route the offering exemption allows, qualified-client status, and qualified-purchaser status in a Section 3(c)(7) fund. They may limit the questions to the partnership agreement's own conditions and offer no waiver of a condition it makes non-waivable. </w:t>
      </w:r>
      <w:r>
        <w:t xml:space="preserve">Practice Guide (Subscription eligibility)</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2.4  </w:t>
      </w:r>
      <w:r>
        <w:rPr>
          <w:b/>
        </w:rPr>
        <w:t xml:space="preserve">Facts needed to count beneficial owners under Section 3(c)(1)</w:t>
      </w:r>
      <w:r>
        <w:t xml:space="preserve"> — Recommended (SHOULD)</w:t>
      </w:r>
    </w:p>
    <w:p>
      <w:pPr>
        <w:spacing w:before="0" w:after="120"/>
        <w:ind w:left="540"/>
      </w:pPr>
      <w:r>
        <w:t xml:space="preserve">In a Section 3(c)(1) fund, confirm the agreement requires the investor to answer the questionnaire's beneficial-ownership questions and report changes, looking through a company investor that holds 10% or more of the fund's voting securities and is, or but for Section 3(c)(1) or 3(c)(7) would be, an investment company.</w:t>
      </w:r>
      <w:r>
        <w:t xml:space="preserve"> </w:t>
      </w:r>
      <w:r>
        <w:t xml:space="preserve">Practice Guide (3(c)(1) and 3(c)(7) funds)</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2.5  </w:t>
      </w:r>
      <w:r>
        <w:rPr>
          <w:b/>
        </w:rPr>
        <w:t xml:space="preserve">Representations about facts the investor knows, not legal conclusions</w:t>
      </w:r>
      <w:r>
        <w:t xml:space="preserve"> — Recommended (SHOULD)</w:t>
      </w:r>
    </w:p>
    <w:p>
      <w:pPr>
        <w:spacing w:before="0" w:after="120"/>
        <w:ind w:left="540"/>
      </w:pPr>
      <w:r>
        <w:t xml:space="preserve">Confirm each representation that turns on a legal definition, such as restricted person or benefit plan investor, asks the investor to confirm facts it knows or can determine, such as its net worth, its owners, the forms it filed, or events in its history, and leaves the general partner to apply the definition.</w:t>
      </w:r>
      <w:r>
        <w:t xml:space="preserve"> </w:t>
      </w:r>
      <w:r>
        <w:t xml:space="preserve">Practice Guide (Subscription eligibility)</w:t>
      </w:r>
    </w:p>
    <w:p>
      <w:pPr>
        <w:keepNext/>
        <w:spacing w:before="360" w:after="160"/>
      </w:pPr>
      <w:r>
        <w:rPr>
          <w:b/>
          <w:sz w:val="28"/>
          <w:szCs w:val="28"/>
        </w:rPr>
        <w:t xml:space="preserve">3. Compliance information</w:t>
      </w:r>
    </w:p>
    <w:p>
      <w:pPr>
        <w:keepNext/>
        <w:spacing w:before="200" w:after="80"/>
      </w:pPr>
      <w:r>
        <w:rPr>
          <w:rFonts w:ascii="Segoe UI Symbol" w:hAnsi="Segoe UI Symbol"/>
        </w:rPr>
        <w:t xml:space="preserve">☐  </w:t>
      </w:r>
      <w:r>
        <w:rPr>
          <w:b/>
        </w:rPr>
        <w:t xml:space="preserve">3.1  </w:t>
      </w:r>
      <w:r>
        <w:rPr>
          <w:b/>
        </w:rPr>
        <w:t xml:space="preserve">Rule 506(d): factual inquiry of any investor that will hold 20% or more</w:t>
      </w:r>
      <w:r>
        <w:t xml:space="preserve"> — Required (MUST)</w:t>
      </w:r>
    </w:p>
    <w:p>
      <w:pPr>
        <w:spacing w:before="0" w:after="120"/>
        <w:ind w:left="540"/>
      </w:pPr>
      <w:r>
        <w:t xml:space="preserve">In a Rule 506 offering, a beneficial owner of 20% or more of the fund's outstanding voting equity securities, calculated on the basis of voting power, is a covered person, and relying on Rule 506(d)'s reasonable-care exception requires factual inquiry in light of the circumstances.</w:t>
      </w:r>
      <w:r>
        <w:t xml:space="preserve"> Confirm the subscription documents identify any investor that will hold 20% or more, ask the disqualification questions, and require updates. </w:t>
      </w:r>
      <w:r>
        <w:t xml:space="preserve">Practice Guide (Subscription compliance information)</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3.2  </w:t>
      </w:r>
      <w:r>
        <w:rPr>
          <w:b/>
        </w:rPr>
        <w:t xml:space="preserve">Identity, beneficial ownership, sanctions, and source-of-funds information</w:t>
      </w:r>
      <w:r>
        <w:t xml:space="preserve"> — Recommended (SHOULD)</w:t>
      </w:r>
    </w:p>
    <w:p>
      <w:pPr>
        <w:spacing w:before="0" w:after="120"/>
        <w:ind w:left="540"/>
      </w:pPr>
      <w:r>
        <w:t xml:space="preserve">Confirm the agreement obtains the identity, beneficial-ownership, sanctions, and source-of-funds information and representations the fund's onboarding procedures call for, and lets the general partner reject, block, or compel withdrawal of an investment when the law requires it.</w:t>
      </w:r>
      <w:r>
        <w:t xml:space="preserve"> It should describe the fund's actual practice, not FinCEN's investment-adviser program rule, whose effective date is January 1, 2028.</w:t>
      </w:r>
      <w:r>
        <w:t xml:space="preserve"> </w:t>
      </w:r>
      <w:r>
        <w:t xml:space="preserve">Practice Guide (Subscriptions)</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3.3  </w:t>
      </w:r>
      <w:r>
        <w:rPr>
          <w:b/>
        </w:rPr>
        <w:t xml:space="preserve">IPO eligibility: FINRA Rule 5130 and 5131 status collected before the fund buys IPO shares</w:t>
      </w:r>
      <w:r>
        <w:t xml:space="preserve"> — Recommended (SHOULD)</w:t>
      </w:r>
    </w:p>
    <w:p>
      <w:pPr>
        <w:spacing w:before="0" w:after="120"/>
        <w:ind w:left="540"/>
      </w:pPr>
      <w:r>
        <w:t xml:space="preserve">If the fund may buy shares in IPOs (FINRA Rules 5130 and 5131), confirm the agreement relies on the questionnaire's IPO-eligibility answers, requires updates, and lets the general partner treat an investor as ineligible until it answers, consistently with the partnership agreement's new-issue allocation clause.</w:t>
      </w:r>
      <w:r>
        <w:t xml:space="preserve"> </w:t>
      </w:r>
      <w:r>
        <w:t xml:space="preserve">Practice Guide (Subscription compliance information)</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3.4  </w:t>
      </w:r>
      <w:r>
        <w:rPr>
          <w:b/>
        </w:rPr>
        <w:t xml:space="preserve">Benefit plan status collected to monitor the 25% test</w:t>
      </w:r>
      <w:r>
        <w:t xml:space="preserve"> — Recommended (SHOULD)</w:t>
      </w:r>
    </w:p>
    <w:p>
      <w:pPr>
        <w:spacing w:before="0" w:after="120"/>
        <w:ind w:left="540"/>
      </w:pPr>
      <w:r>
        <w:t xml:space="preserve">Confirm the agreement and questionnaire collect each investor's benefit plan status and, for an investing entity, the share of its equity held by benefit plan investors, and that a plan investor represents an independent fiduciary made the decision to invest.</w:t>
      </w:r>
      <w:r>
        <w:t xml:space="preserve"> </w:t>
      </w:r>
      <w:r>
        <w:t xml:space="preserve">Practice Guide (Retirement-plan investors)</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3.5  </w:t>
      </w:r>
      <w:r>
        <w:rPr>
          <w:b/>
        </w:rPr>
        <w:t xml:space="preserve">Form W-9 or W-8 and FATCA and CRS self-certification required and kept current</w:t>
      </w:r>
      <w:r>
        <w:t xml:space="preserve"> — Recommended (SHOULD)</w:t>
      </w:r>
    </w:p>
    <w:p>
      <w:pPr>
        <w:spacing w:before="0" w:after="120"/>
        <w:ind w:left="540"/>
      </w:pPr>
      <w:r>
        <w:t xml:space="preserve">Confirm the agreement requires a Form W-9 from a United States person or the applicable Form W-8 from anyone else, any Foreign Account Tax Compliance Act and Common Reporting Standard self-certification the fund needs, and prompt updates, and leaves withholding and the charging of taxes to an investor to the partnership agreement.</w:t>
      </w:r>
      <w:r>
        <w:t xml:space="preserve"> </w:t>
      </w:r>
      <w:r>
        <w:t xml:space="preserve">Practice Guide (Subscription compliance information)</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3.6  </w:t>
      </w:r>
      <w:r>
        <w:rPr>
          <w:b/>
        </w:rPr>
        <w:t xml:space="preserve">Public-records status disclosed and handled</w:t>
      </w:r>
      <w:r>
        <w:t xml:space="preserve"> — Recommended (SHOULD)</w:t>
      </w:r>
    </w:p>
    <w:p>
      <w:pPr>
        <w:spacing w:before="0" w:after="120"/>
        <w:ind w:left="540"/>
      </w:pPr>
      <w:r>
        <w:t xml:space="preserve">Confirm the agreement asks whether the investor is subject to the Freedom of Information Act or a state public-records law, and which ones, requires notice if it later becomes subject to one, and lets the general partner limit the confidential information it gives that investor. </w:t>
      </w:r>
      <w:r>
        <w:t xml:space="preserve">Practice Guide (Subscription compliance information)</w:t>
      </w:r>
    </w:p>
    <w:p>
      <w:pPr>
        <w:spacing w:before="0" w:after="120"/>
        <w:ind w:left="540"/>
      </w:pPr>
      <w:r>
        <w:t xml:space="preserve">Examples:</w:t>
      </w:r>
    </w:p>
    <w:p>
      <w:pPr>
        <w:keepNext/>
        <w:spacing w:before="360" w:after="160"/>
      </w:pPr>
      <w:r>
        <w:rPr>
          <w:b/>
          <w:sz w:val="28"/>
          <w:szCs w:val="28"/>
        </w:rPr>
        <w:t xml:space="preserve">4. Power of attorney, indemnity, and side letters</w:t>
      </w:r>
    </w:p>
    <w:p>
      <w:pPr>
        <w:spacing w:before="0" w:after="120"/>
      </w:pPr>
      <w:r>
        <w:t xml:space="preserve">Practice Guide (Power of attorney and indemnity)</w:t>
      </w:r>
    </w:p>
    <w:p>
      <w:pPr>
        <w:keepNext/>
        <w:spacing w:before="200" w:after="80"/>
      </w:pPr>
      <w:r>
        <w:rPr>
          <w:rFonts w:ascii="Segoe UI Symbol" w:hAnsi="Segoe UI Symbol"/>
        </w:rPr>
        <w:t xml:space="preserve">☐  </w:t>
      </w:r>
      <w:r>
        <w:rPr>
          <w:b/>
        </w:rPr>
        <w:t xml:space="preserve">4.1  </w:t>
      </w:r>
      <w:r>
        <w:rPr>
          <w:b/>
        </w:rPr>
        <w:t xml:space="preserve">Investor indemnity limited to untrue representations and capped</w:t>
      </w:r>
      <w:r>
        <w:t xml:space="preserve"> — Recommended (SHOULD)</w:t>
      </w:r>
    </w:p>
    <w:p>
      <w:pPr>
        <w:spacing w:before="0" w:after="120"/>
        <w:ind w:left="540"/>
      </w:pPr>
      <w:r>
        <w:t xml:space="preserve">Confirm any investor indemnity is limited to losses from representations that were untrue when made and capped at the amount subscribed.</w:t>
      </w:r>
    </w:p>
    <w:p>
      <w:pPr>
        <w:keepNext/>
        <w:spacing w:before="200" w:after="80"/>
      </w:pPr>
      <w:r>
        <w:rPr>
          <w:rFonts w:ascii="Segoe UI Symbol" w:hAnsi="Segoe UI Symbol"/>
        </w:rPr>
        <w:t xml:space="preserve">☐  </w:t>
      </w:r>
      <w:r>
        <w:rPr>
          <w:b/>
        </w:rPr>
        <w:t xml:space="preserve">4.2  </w:t>
      </w:r>
      <w:r>
        <w:rPr>
          <w:b/>
        </w:rPr>
        <w:t xml:space="preserve">Power of attorney limited to signing the partnership agreement</w:t>
      </w:r>
      <w:r>
        <w:t xml:space="preserve"> — Recommended (SHOULD)</w:t>
      </w:r>
    </w:p>
    <w:p>
      <w:pPr>
        <w:spacing w:before="0" w:after="120"/>
        <w:ind w:left="540"/>
      </w:pPr>
      <w:r>
        <w:t xml:space="preserve">Confirm any power of attorney is limited to executing a counterpart signature page to the partnership agreement, and neither expands nor narrows the partnership agreement's own power of attorney.</w:t>
      </w:r>
    </w:p>
    <w:p>
      <w:pPr>
        <w:keepNext/>
        <w:spacing w:before="200" w:after="80"/>
      </w:pPr>
      <w:r>
        <w:rPr>
          <w:rFonts w:ascii="Segoe UI Symbol" w:hAnsi="Segoe UI Symbol"/>
        </w:rPr>
        <w:t xml:space="preserve">☐  </w:t>
      </w:r>
      <w:r>
        <w:rPr>
          <w:b/>
        </w:rPr>
        <w:t xml:space="preserve">4.3  </w:t>
      </w:r>
      <w:r>
        <w:rPr>
          <w:b/>
        </w:rPr>
        <w:t xml:space="preserve">Fund-side representations and investor-specific terms left to side letters</w:t>
      </w:r>
      <w:r>
        <w:t xml:space="preserve"> — Optional (MAY)</w:t>
      </w:r>
    </w:p>
    <w:p>
      <w:pPr>
        <w:spacing w:before="0" w:after="120"/>
        <w:ind w:left="540"/>
      </w:pPr>
      <w:r>
        <w:t xml:space="preserve">A form may omit representations by the fund or general partner, most-favored-nation rights, and other investor-specific terms, leaving them to side letters; if it does, confirm the memorandum and partnership agreement say what the investor needs to rely on.</w:t>
      </w:r>
    </w:p>
    <w:p>
      <w:pPr>
        <w:spacing w:before="0" w:after="120"/>
        <w:ind w:left="540"/>
      </w:pPr>
      <w:r>
        <w:t xml:space="preserve">Examples:</w:t>
      </w:r>
    </w:p>
    <w:p>
      <w:pPr>
        <w:keepNext/>
        <w:spacing w:before="360" w:after="160"/>
      </w:pPr>
      <w:r>
        <w:rPr>
          <w:b/>
          <w:sz w:val="28"/>
          <w:szCs w:val="28"/>
        </w:rPr>
        <w:t xml:space="preserve">5. Investment manager outside the United States</w:t>
      </w:r>
    </w:p>
    <w:p>
      <w:pPr>
        <w:keepNext/>
        <w:spacing w:before="200" w:after="80"/>
      </w:pPr>
      <w:r>
        <w:rPr>
          <w:rFonts w:ascii="Segoe UI Symbol" w:hAnsi="Segoe UI Symbol"/>
        </w:rPr>
        <w:t xml:space="preserve">☐  </w:t>
      </w:r>
      <w:r>
        <w:rPr>
          <w:b/>
        </w:rPr>
        <w:t xml:space="preserve">5.1  </w:t>
      </w:r>
      <w:r>
        <w:rPr>
          <w:b/>
        </w:rPr>
        <w:t xml:space="preserve">Manager outside the United States: documents reflect its adviser status</w:t>
      </w:r>
      <w:r>
        <w:t xml:space="preserve"> — Recommended (SHOULD)</w:t>
      </w:r>
    </w:p>
    <w:p>
      <w:pPr>
        <w:spacing w:before="0" w:after="120"/>
        <w:ind w:left="540"/>
      </w:pPr>
      <w:r>
        <w:t xml:space="preserve">If the investment manager's principal office and place of business is outside the United States, the subscription documents should reflect its Investment Advisers Act status, as registered, exempt as a non-U.S. private fund adviser, or a foreign private adviser, and its home-country requirements.</w:t>
      </w:r>
      <w:r>
        <w:t xml:space="preserve"> The </w:t>
      </w:r>
      <w:r>
        <w:t xml:space="preserve">Hedge Fund Subscription Agreement (Manager Outside the U.S.)</w:t>
      </w:r>
      <w:r>
        <w:t xml:space="preserve"> makes these changes. </w:t>
      </w:r>
      <w:r>
        <w:t xml:space="preserve">Practice Guide (Manager outside the United States)</w:t>
      </w:r>
    </w:p>
    <w:p>
      <w:pPr>
        <w:spacing w:before="0" w:after="120"/>
        <w:ind w:left="540"/>
      </w:pPr>
      <w:r>
        <w:t xml:space="preserve">Examples:</w:t>
      </w:r>
    </w:p>
    <w:p>
      <w:pPr>
        <w:spacing w:before="360" w:after="0"/>
      </w:pPr>
      <w:r>
        <w:rPr>
          <w:color w:val="666666"/>
          <w:sz w:val="16"/>
          <w:szCs w:val="16"/>
        </w:rPr>
        <w:t xml:space="preserve">Steven Obiajulu, J.D. edits this reviewer checklist for U.S. hedge fund subscription agreement for a fully funded, open-end fund, read with its limited partnership agreement and private placement memorandum. Not a closed-end drawdown fund such as a private equity fund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