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Hiring Reviewer Checklist — Nigeria</w:t>
      </w:r>
    </w:p>
    <w:p>
      <w:pPr>
        <w:spacing w:before="0" w:after="120"/>
      </w:pPr>
      <w:r>
        <w:rPr>
          <w:i/>
          <w:color w:val="444444"/>
        </w:rPr>
        <w:t xml:space="preserve">Review a first Nigerian employee hire for worker coverage, written particulars, leave, minimum wage, PAYE tax, pension, employee data, IP assignment, notice and onboarding questions.</w:t>
      </w:r>
    </w:p>
    <w:p>
      <w:pPr>
        <w:spacing w:before="0" w:after="240"/>
      </w:pPr>
      <w:r>
        <w:rPr>
          <w:color w:val="666666"/>
          <w:sz w:val="18"/>
          <w:szCs w:val="18"/>
        </w:rPr>
        <w:t xml:space="preserve">By Steven Obiajulu, J.D. Last reviewed 2026-09-28. License: CC BY 4.0. https://openagreements.org/checklists/hiring/nigeria</w:t>
      </w:r>
    </w:p>
    <w:p>
      <w:pPr>
        <w:spacing w:before="0" w:after="120"/>
      </w:pPr>
      <w:r>
        <w:t xml:space="preserve">This checklist reviews a first Nigerian hire against the Labour Act, the National Minimum Wage Act, the 2025 tax Acts, the Pension Reform Act 2014, the Nigeria Data Protection Act 2023 and the Copyright Act 2022 as in force on 8 October 2026. The </w:t>
      </w:r>
      <w:r>
        <w:t xml:space="preserve">Nigeria hiring guide</w:t>
      </w:r>
      <w:r>
        <w:t xml:space="preserve"> explains the reasoning behind each item. Apply each item to the actual hire and record unresolved questions; a completed checklist is not legal clearance.</w:t>
      </w:r>
    </w:p>
    <w:p>
      <w:pPr>
        <w:keepNext/>
        <w:spacing w:before="360" w:after="160"/>
      </w:pPr>
      <w:r>
        <w:rPr>
          <w:b/>
          <w:sz w:val="28"/>
          <w:szCs w:val="28"/>
        </w:rPr>
        <w:t xml:space="preserve">1. Coverage and employer</w:t>
      </w:r>
    </w:p>
    <w:p>
      <w:pPr>
        <w:keepNext/>
        <w:spacing w:before="200" w:after="80"/>
      </w:pPr>
      <w:r>
        <w:rPr>
          <w:rFonts w:ascii="Segoe UI Symbol" w:hAnsi="Segoe UI Symbol"/>
        </w:rPr>
        <w:t xml:space="preserve">☐  </w:t>
      </w:r>
      <w:r>
        <w:rPr>
          <w:b/>
        </w:rPr>
        <w:t xml:space="preserve">1.1  </w:t>
      </w:r>
      <w:r>
        <w:rPr>
          <w:b/>
        </w:rPr>
        <w:t xml:space="preserve">Labour Act worker coverage</w:t>
      </w:r>
      <w:r>
        <w:t xml:space="preserve"> — Recommended (SHOULD)</w:t>
      </w:r>
    </w:p>
    <w:p>
      <w:pPr>
        <w:spacing w:before="0" w:after="120"/>
        <w:ind w:left="540"/>
      </w:pPr>
      <w:r>
        <w:t xml:space="preserve">Record the actual duties and assess section 91, including every relevant exclusion. Do not assume all employees fall within the Act or that an excluded employee has no rights. If unresolved, flag which statutory rules cannot yet be applied.</w:t>
      </w:r>
    </w:p>
    <w:p>
      <w:pPr>
        <w:keepNext/>
        <w:spacing w:before="200" w:after="80"/>
      </w:pPr>
      <w:r>
        <w:rPr>
          <w:rFonts w:ascii="Segoe UI Symbol" w:hAnsi="Segoe UI Symbol"/>
        </w:rPr>
        <w:t xml:space="preserve">☐  </w:t>
      </w:r>
      <w:r>
        <w:rPr>
          <w:b/>
        </w:rPr>
        <w:t xml:space="preserve">1.2  </w:t>
      </w:r>
      <w:r>
        <w:rPr>
          <w:b/>
        </w:rPr>
        <w:t xml:space="preserve">Employer and engagement facts</w:t>
      </w:r>
      <w:r>
        <w:t xml:space="preserve"> — Recommended (SHOULD)</w:t>
      </w:r>
    </w:p>
    <w:p>
      <w:pPr>
        <w:spacing w:before="0" w:after="120"/>
        <w:ind w:left="540"/>
      </w:pPr>
      <w:r>
        <w:t xml:space="preserve">Record the legal employer, candidate, actual duties, reporting line, work location, State of residence, start date and any relevant fixed-term expiry, and confirm the agreed terms are complete before the offer is sent. This is a drafting safeguard, not a statutory coverage determination.</w:t>
      </w:r>
    </w:p>
    <w:p>
      <w:pPr>
        <w:keepNext/>
        <w:spacing w:before="360" w:after="160"/>
      </w:pPr>
      <w:r>
        <w:rPr>
          <w:b/>
          <w:sz w:val="28"/>
          <w:szCs w:val="28"/>
        </w:rPr>
        <w:t xml:space="preserve">2. Written terms and delivery</w:t>
      </w:r>
    </w:p>
    <w:p>
      <w:pPr>
        <w:keepNext/>
        <w:spacing w:before="200" w:after="80"/>
      </w:pPr>
      <w:r>
        <w:rPr>
          <w:rFonts w:ascii="Segoe UI Symbol" w:hAnsi="Segoe UI Symbol"/>
        </w:rPr>
        <w:t xml:space="preserve">☐  </w:t>
      </w:r>
      <w:r>
        <w:rPr>
          <w:b/>
        </w:rPr>
        <w:t xml:space="preserve">2.1  </w:t>
      </w:r>
      <w:r>
        <w:rPr>
          <w:b/>
        </w:rPr>
        <w:t xml:space="preserve">Required written particulars for covered workers</w:t>
      </w:r>
      <w:r>
        <w:t xml:space="preserve"> — Required (MUST)</w:t>
      </w:r>
    </w:p>
    <w:p>
      <w:pPr>
        <w:spacing w:before="0" w:after="120"/>
        <w:ind w:left="540"/>
      </w:pPr>
      <w:r>
        <w:t xml:space="preserve">Where section 7 applies, include every section 7(1) particular: employer and worker details, place/date of engagement, nature of work, fixed-term expiry, appropriate notice, wages/calculation/payment, hours, holiday and holiday pay, sickness or injury and sick pay, and special conditions.</w:t>
      </w:r>
    </w:p>
    <w:p>
      <w:pPr>
        <w:keepNext/>
        <w:spacing w:before="200" w:after="80"/>
      </w:pPr>
      <w:r>
        <w:rPr>
          <w:rFonts w:ascii="Segoe UI Symbol" w:hAnsi="Segoe UI Symbol"/>
        </w:rPr>
        <w:t xml:space="preserve">☐  </w:t>
      </w:r>
      <w:r>
        <w:rPr>
          <w:b/>
        </w:rPr>
        <w:t xml:space="preserve">2.2  </w:t>
      </w:r>
      <w:r>
        <w:rPr>
          <w:b/>
        </w:rPr>
        <w:t xml:space="preserve">Timely delivery and worker copy</w:t>
      </w:r>
      <w:r>
        <w:t xml:space="preserve"> — Required (MUST)</w:t>
      </w:r>
    </w:p>
    <w:p>
      <w:pPr>
        <w:spacing w:before="0" w:after="120"/>
        <w:ind w:left="540"/>
      </w:pPr>
      <w:r>
        <w:t xml:space="preserve">For a covered worker, give the section 7 statement within three months of starting. If relying on section 7(6), confirm that the written contract covers every required particular and the worker has a copy. Keep a delivery record as a practical safeguard.</w:t>
      </w:r>
    </w:p>
    <w:p>
      <w:pPr>
        <w:keepNext/>
        <w:spacing w:before="200" w:after="80"/>
      </w:pPr>
      <w:r>
        <w:rPr>
          <w:rFonts w:ascii="Segoe UI Symbol" w:hAnsi="Segoe UI Symbol"/>
        </w:rPr>
        <w:t xml:space="preserve">☐  </w:t>
      </w:r>
      <w:r>
        <w:rPr>
          <w:b/>
        </w:rPr>
        <w:t xml:space="preserve">2.3  </w:t>
      </w:r>
      <w:r>
        <w:rPr>
          <w:b/>
        </w:rPr>
        <w:t xml:space="preserve">Accessible policies and change records</w:t>
      </w:r>
      <w:r>
        <w:t xml:space="preserve"> — Required (MUST)</w:t>
      </w:r>
    </w:p>
    <w:p>
      <w:pPr>
        <w:spacing w:before="0" w:after="120"/>
        <w:ind w:left="540"/>
      </w:pPr>
      <w:r>
        <w:t xml:space="preserve">When section 7 applies, make referenced documents reasonably accessible. Communicate required changes within one month under section 7(2), or satisfy the specific advance-reference and timely-recording mechanism in section 7(4). Record versions and access; these disclosure rules do not by themselves authorize unilateral changes.</w:t>
      </w:r>
    </w:p>
    <w:p>
      <w:pPr>
        <w:keepNext/>
        <w:spacing w:before="200" w:after="80"/>
      </w:pPr>
      <w:r>
        <w:rPr>
          <w:rFonts w:ascii="Segoe UI Symbol" w:hAnsi="Segoe UI Symbol"/>
        </w:rPr>
        <w:t xml:space="preserve">☐  </w:t>
      </w:r>
      <w:r>
        <w:rPr>
          <w:b/>
        </w:rPr>
        <w:t xml:space="preserve">2.4  </w:t>
      </w:r>
      <w:r>
        <w:rPr>
          <w:b/>
        </w:rPr>
        <w:t xml:space="preserve">Notice clause and termination process</w:t>
      </w:r>
      <w:r>
        <w:t xml:space="preserve"> — Recommended (SHOULD)</w:t>
      </w:r>
    </w:p>
    <w:p>
      <w:pPr>
        <w:spacing w:before="0" w:after="120"/>
        <w:ind w:left="540"/>
      </w:pPr>
      <w:r>
        <w:t xml:space="preserve">State an express notice clause. For covered contracts, check section 11: one day up to three months; one week over three months but under two years; two weeks from two years to under five; one month from five years. Notice of at least one week must be written; the notice day is excluded. Assess the rest of section 11 and other applicable rules before termination. Do not import a U.S. at-will clause.</w:t>
      </w:r>
    </w:p>
    <w:p>
      <w:pPr>
        <w:keepNext/>
        <w:spacing w:before="200" w:after="80"/>
      </w:pPr>
      <w:r>
        <w:rPr>
          <w:rFonts w:ascii="Segoe UI Symbol" w:hAnsi="Segoe UI Symbol"/>
        </w:rPr>
        <w:t xml:space="preserve">☐  </w:t>
      </w:r>
      <w:r>
        <w:rPr>
          <w:b/>
        </w:rPr>
        <w:t xml:space="preserve">2.5  </w:t>
      </w:r>
      <w:r>
        <w:rPr>
          <w:b/>
        </w:rPr>
        <w:t xml:space="preserve">Statutory leave floors for covered workers</w:t>
      </w:r>
      <w:r>
        <w:t xml:space="preserve"> — Required (MUST)</w:t>
      </w:r>
    </w:p>
    <w:p>
      <w:pPr>
        <w:spacing w:before="0" w:after="120"/>
        <w:ind w:left="540"/>
      </w:pPr>
      <w:r>
        <w:t xml:space="preserve">For a covered worker, check that the leave terms give at least six working days' annual holiday with full pay after twelve months' continuous service (twelve working days for a worker under sixteen, including an apprentice), with no pay in lieu while the contract continues, and paid sick leave of up to twelve working days in each calendar year for certified temporary illness, subject to section 16's continuing-contract, readiness-to-work and requested-examination conditions. Check that leave pay and sick pay are calculated on money wages excluding overtime and other allowances, or more, and that a worker leaving after six to under twelve months' continuous service, or at least six months after last qualifying for a holiday, receives the section 18(4) proportion of one week's full pay. Check maternity terms against section 54(1), which is framed around women in the listed undertakings rather than the worker definition.</w:t>
      </w:r>
    </w:p>
    <w:p>
      <w:pPr>
        <w:keepNext/>
        <w:spacing w:before="200" w:after="80"/>
      </w:pPr>
      <w:r>
        <w:rPr>
          <w:rFonts w:ascii="Segoe UI Symbol" w:hAnsi="Segoe UI Symbol"/>
        </w:rPr>
        <w:t xml:space="preserve">☐  </w:t>
      </w:r>
      <w:r>
        <w:rPr>
          <w:b/>
        </w:rPr>
        <w:t xml:space="preserve">2.6  </w:t>
      </w:r>
      <w:r>
        <w:rPr>
          <w:b/>
        </w:rPr>
        <w:t xml:space="preserve">Redundancy duties for covered workers</w:t>
      </w:r>
      <w:r>
        <w:t xml:space="preserve"> — Required (MUST)</w:t>
      </w:r>
    </w:p>
    <w:p>
      <w:pPr>
        <w:spacing w:before="0" w:after="120"/>
        <w:ind w:left="540"/>
      </w:pPr>
      <w:r>
        <w:t xml:space="preserve">If covered workers lose their jobs through an excess of manpower, confirm that the employer informs the trade union or workers' representative of the reasons and extent, applies last in, first out within the particular category of workers affected, subject to relative merit, and uses best endeavours to negotiate redundancy payments for discharged workers not protected by section 20(2) regulations. Record each step and whether any such regulations require compulsory allowances.</w:t>
      </w:r>
    </w:p>
    <w:p>
      <w:pPr>
        <w:keepNext/>
        <w:spacing w:before="360" w:after="160"/>
      </w:pPr>
      <w:r>
        <w:rPr>
          <w:b/>
          <w:sz w:val="28"/>
          <w:szCs w:val="28"/>
        </w:rPr>
        <w:t xml:space="preserve">3. Pay, tax and contributions</w:t>
      </w:r>
    </w:p>
    <w:p>
      <w:pPr>
        <w:keepNext/>
        <w:spacing w:before="200" w:after="80"/>
      </w:pPr>
      <w:r>
        <w:rPr>
          <w:rFonts w:ascii="Segoe UI Symbol" w:hAnsi="Segoe UI Symbol"/>
        </w:rPr>
        <w:t xml:space="preserve">☐  </w:t>
      </w:r>
      <w:r>
        <w:rPr>
          <w:b/>
        </w:rPr>
        <w:t xml:space="preserve">3.1  </w:t>
      </w:r>
      <w:r>
        <w:rPr>
          <w:b/>
        </w:rPr>
        <w:t xml:space="preserve">National minimum wage or exemption</w:t>
      </w:r>
      <w:r>
        <w:t xml:space="preserve"> — Required (MUST)</w:t>
      </w:r>
    </w:p>
    <w:p>
      <w:pPr>
        <w:spacing w:before="0" w:after="120"/>
        <w:ind w:left="540"/>
      </w:pPr>
      <w:r>
        <w:t xml:space="preserve">Unless a section 4(1) exemption applies, such as an establishment employing fewer than 25 persons or part-time or commission pay, check that the agreed wage is at least the national minimum wage; an agreement to pay less is void. Record the exemption relied on, or the monthly wage against the ₦70,000 rate that practitioners report the 2024 amendment set; the enacted amendment text was not available from an official host.</w:t>
      </w:r>
    </w:p>
    <w:p>
      <w:pPr>
        <w:keepNext/>
        <w:spacing w:before="200" w:after="80"/>
      </w:pPr>
      <w:r>
        <w:rPr>
          <w:rFonts w:ascii="Segoe UI Symbol" w:hAnsi="Segoe UI Symbol"/>
        </w:rPr>
        <w:t xml:space="preserve">☐  </w:t>
      </w:r>
      <w:r>
        <w:rPr>
          <w:b/>
        </w:rPr>
        <w:t xml:space="preserve">3.2  </w:t>
      </w:r>
      <w:r>
        <w:rPr>
          <w:b/>
        </w:rPr>
        <w:t xml:space="preserve">PAYE deduction, remittance and annual return</w:t>
      </w:r>
      <w:r>
        <w:t xml:space="preserve"> — Required (MUST)</w:t>
      </w:r>
    </w:p>
    <w:p>
      <w:pPr>
        <w:spacing w:before="0" w:after="120"/>
        <w:ind w:left="540"/>
      </w:pPr>
      <w:r>
        <w:t xml:space="preserve">Confirm that the employer deducts the employee's income tax from each salary payment, remits it by the 10th day of the following month under the Joint Revenue Board's 2026 guidelines, and in any event before section 107(1)'s penalty and interest attach after the 21st day, to the relevant tax authority, ordinarily the State or Federal Capital Territory authority where the employee resides, and files the annual employer return by 31 January. Record the residence used and any federal exception that applies.</w:t>
      </w:r>
    </w:p>
    <w:p>
      <w:pPr>
        <w:keepNext/>
        <w:spacing w:before="200" w:after="80"/>
      </w:pPr>
      <w:r>
        <w:rPr>
          <w:rFonts w:ascii="Segoe UI Symbol" w:hAnsi="Segoe UI Symbol"/>
        </w:rPr>
        <w:t xml:space="preserve">☐  </w:t>
      </w:r>
      <w:r>
        <w:rPr>
          <w:b/>
        </w:rPr>
        <w:t xml:space="preserve">3.3  </w:t>
      </w:r>
      <w:r>
        <w:rPr>
          <w:b/>
        </w:rPr>
        <w:t xml:space="preserve">Pension scheme and group life insurance</w:t>
      </w:r>
      <w:r>
        <w:t xml:space="preserve"> — Required (MUST)</w:t>
      </w:r>
    </w:p>
    <w:p>
      <w:pPr>
        <w:spacing w:before="0" w:after="120"/>
        <w:ind w:left="540"/>
      </w:pPr>
      <w:r>
        <w:t xml:space="preserve">For a private employer with three or more employees, confirm that each employee within the scheme has a retirement savings account with an administrator of the employee's choice, or that a temporary account is requested after six months. Record whether the hire is a foreigner or on a temporary, contract or tenured appointment, whom the Commission treats as voluntary participants. Confirm that the employer remits contributions within seven working days after paying salaries, using a contractual emoluments base no lower than basic salary plus housing and transport allowances. Under the shared arrangement, confirm that the employer deducts the employee's contribution and remits it with the employer's, at no less than 10% employer and 8% employee of monthly emoluments; if the employer elects under section 4(4)(b) to bear the whole contribution, confirm that it pays at least 20% of monthly emoluments. Confirm that group life insurance of at least three times annual total emolument, which the Commission treats as gross emolument, is in force for each employee under the scheme, that the premium is paid by the date cover begins, and that written renewal negotiations start two months before the cover expires.</w:t>
      </w:r>
    </w:p>
    <w:p>
      <w:pPr>
        <w:keepNext/>
        <w:spacing w:before="360" w:after="160"/>
      </w:pPr>
      <w:r>
        <w:rPr>
          <w:b/>
          <w:sz w:val="28"/>
          <w:szCs w:val="28"/>
        </w:rPr>
        <w:t xml:space="preserve">4. Employee data and IP</w:t>
      </w:r>
    </w:p>
    <w:p>
      <w:pPr>
        <w:keepNext/>
        <w:spacing w:before="200" w:after="80"/>
      </w:pPr>
      <w:r>
        <w:rPr>
          <w:rFonts w:ascii="Segoe UI Symbol" w:hAnsi="Segoe UI Symbol"/>
        </w:rPr>
        <w:t xml:space="preserve">☐  </w:t>
      </w:r>
      <w:r>
        <w:rPr>
          <w:b/>
        </w:rPr>
        <w:t xml:space="preserve">4.1  </w:t>
      </w:r>
      <w:r>
        <w:rPr>
          <w:b/>
        </w:rPr>
        <w:t xml:space="preserve">Employee privacy notice before collection</w:t>
      </w:r>
      <w:r>
        <w:t xml:space="preserve"> — Required (MUST)</w:t>
      </w:r>
    </w:p>
    <w:p>
      <w:pPr>
        <w:spacing w:before="0" w:after="120"/>
        <w:ind w:left="540"/>
      </w:pPr>
      <w:r>
        <w:t xml:space="preserve">Before collecting personal data directly from the candidate or employee, confirm that the employer gives the section 27(1) information: controller identity and contact, lawful basis and purposes, recipients, retention period, data-subject rights, the right to complain to the Commission, and any automated decision-making.</w:t>
      </w:r>
    </w:p>
    <w:p>
      <w:pPr>
        <w:keepNext/>
        <w:spacing w:before="200" w:after="80"/>
      </w:pPr>
      <w:r>
        <w:rPr>
          <w:rFonts w:ascii="Segoe UI Symbol" w:hAnsi="Segoe UI Symbol"/>
        </w:rPr>
        <w:t xml:space="preserve">☐  </w:t>
      </w:r>
      <w:r>
        <w:rPr>
          <w:b/>
        </w:rPr>
        <w:t xml:space="preserve">4.2  </w:t>
      </w:r>
      <w:r>
        <w:rPr>
          <w:b/>
        </w:rPr>
        <w:t xml:space="preserve">Recorded basis for transfers abroad</w:t>
      </w:r>
      <w:r>
        <w:t xml:space="preserve"> — Required (MUST)</w:t>
      </w:r>
    </w:p>
    <w:p>
      <w:pPr>
        <w:spacing w:before="0" w:after="120"/>
        <w:ind w:left="540"/>
      </w:pPr>
      <w:r>
        <w:t xml:space="preserve">If employee data goes to a foreign parent, payroll provider or HR system, identify the section 41(1) basis for the transfer and confirm that the employer records it with the adequacy assessment under section 41(2).</w:t>
      </w:r>
    </w:p>
    <w:p>
      <w:pPr>
        <w:keepNext/>
        <w:spacing w:before="200" w:after="80"/>
      </w:pPr>
      <w:r>
        <w:rPr>
          <w:rFonts w:ascii="Segoe UI Symbol" w:hAnsi="Segoe UI Symbol"/>
        </w:rPr>
        <w:t xml:space="preserve">☐  </w:t>
      </w:r>
      <w:r>
        <w:rPr>
          <w:b/>
        </w:rPr>
        <w:t xml:space="preserve">4.3  </w:t>
      </w:r>
      <w:r>
        <w:rPr>
          <w:b/>
        </w:rPr>
        <w:t xml:space="preserve">Written copyright assignment</w:t>
      </w:r>
      <w:r>
        <w:t xml:space="preserve"> — Required (MUST)</w:t>
      </w:r>
    </w:p>
    <w:p>
      <w:pPr>
        <w:spacing w:before="0" w:after="120"/>
        <w:ind w:left="540"/>
      </w:pPr>
      <w:r>
        <w:t xml:space="preserve">Where the company is to own copyright in the employee's work, including software, the assignment must be in writing to have effect. Check that the contract or a separate IP agreement assigns copyright to the intended owner, because the Act vests copyright initially in the author unless an agreement provides otherwise.</w:t>
      </w:r>
    </w:p>
    <w:p>
      <w:pPr>
        <w:keepNext/>
        <w:spacing w:before="360" w:after="160"/>
      </w:pPr>
      <w:r>
        <w:rPr>
          <w:b/>
          <w:sz w:val="28"/>
          <w:szCs w:val="28"/>
        </w:rPr>
        <w:t xml:space="preserve">5. Onboarding and unresolved work</w:t>
      </w:r>
    </w:p>
    <w:p>
      <w:pPr>
        <w:keepNext/>
        <w:spacing w:before="200" w:after="80"/>
      </w:pPr>
      <w:r>
        <w:rPr>
          <w:rFonts w:ascii="Segoe UI Symbol" w:hAnsi="Segoe UI Symbol"/>
        </w:rPr>
        <w:t xml:space="preserve">☐  </w:t>
      </w:r>
      <w:r>
        <w:rPr>
          <w:b/>
        </w:rPr>
        <w:t xml:space="preserve">5.1  </w:t>
      </w:r>
      <w:r>
        <w:rPr>
          <w:b/>
        </w:rPr>
        <w:t xml:space="preserve">Medical-examination operations</w:t>
      </w:r>
      <w:r>
        <w:t xml:space="preserve"> — Recommended (SHOULD)</w:t>
      </w:r>
    </w:p>
    <w:p>
      <w:pPr>
        <w:spacing w:before="0" w:after="120"/>
        <w:ind w:left="540"/>
      </w:pPr>
      <w:r>
        <w:t xml:space="preserve">Before the start date, resolve worker coverage and section 8: registered practitioner, employer expense, any applicable State Authority exemption order and the examination process. Do not assume a statutory category is an automatic exemption. Treat the resulting health information as sensitive personal data and identify a section 30(1) basis for processing it, such as consent or an employment-law obligation, assessed separately from the privacy notice; current exemption orders are outside this checklist.</w:t>
      </w:r>
    </w:p>
    <w:p>
      <w:pPr>
        <w:keepNext/>
        <w:spacing w:before="200" w:after="80"/>
      </w:pPr>
      <w:r>
        <w:rPr>
          <w:rFonts w:ascii="Segoe UI Symbol" w:hAnsi="Segoe UI Symbol"/>
        </w:rPr>
        <w:t xml:space="preserve">☐  </w:t>
      </w:r>
      <w:r>
        <w:rPr>
          <w:b/>
        </w:rPr>
        <w:t xml:space="preserve">5.2  </w:t>
      </w:r>
      <w:r>
        <w:rPr>
          <w:b/>
        </w:rPr>
        <w:t xml:space="preserve">Post-employment restraint assessment</w:t>
      </w:r>
      <w:r>
        <w:t xml:space="preserve"> — Avoid (SHOULD NOT)</w:t>
      </w:r>
    </w:p>
    <w:p>
      <w:pPr>
        <w:spacing w:before="0" w:after="120"/>
        <w:ind w:left="540"/>
      </w:pPr>
      <w:r>
        <w:t xml:space="preserve">Include a post-termination non-compete in the base offer for this resource. If one is proposed separately, document the business interest and employee access, proposed scope and verified authority. FCCPA section 68(1)(e) is not a blanket two-year safe harbor. No La Casera holding or 2026 exposure-draft rule is adopted.</w:t>
      </w:r>
    </w:p>
    <w:p>
      <w:pPr>
        <w:keepNext/>
        <w:spacing w:before="200" w:after="80"/>
      </w:pPr>
      <w:r>
        <w:rPr>
          <w:rFonts w:ascii="Segoe UI Symbol" w:hAnsi="Segoe UI Symbol"/>
        </w:rPr>
        <w:t xml:space="preserve">☐  </w:t>
      </w:r>
      <w:r>
        <w:rPr>
          <w:b/>
        </w:rPr>
        <w:t xml:space="preserve">5.3  </w:t>
      </w:r>
      <w:r>
        <w:rPr>
          <w:b/>
        </w:rPr>
        <w:t xml:space="preserve">Other hiring workstreams</w:t>
      </w:r>
      <w:r>
        <w:t xml:space="preserve"> — Recommended (SHOULD)</w:t>
      </w:r>
    </w:p>
    <w:p>
      <w:pPr>
        <w:spacing w:before="0" w:after="120"/>
        <w:ind w:left="540"/>
      </w:pPr>
      <w:r>
        <w:t xml:space="preserve">Assign an owner for the employing-entity question where there is no Nigerian company, Employees' Compensation Fund and other payroll levies, immigration for a foreign hire, equity, collective agreements and sector rules.</w:t>
      </w:r>
    </w:p>
    <w:p>
      <w:pPr>
        <w:spacing w:before="360" w:after="0"/>
      </w:pPr>
      <w:r>
        <w:rPr>
          <w:color w:val="666666"/>
          <w:sz w:val="16"/>
          <w:szCs w:val="16"/>
        </w:rPr>
        <w:t xml:space="preserve">Steven Obiajulu, J.D. edits this reviewer checklist for Nigeria — first-employee hiring, written terms, payroll and onboarding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