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Hiring Reviewer Checklist — South Africa</w:t>
      </w:r>
    </w:p>
    <w:p>
      <w:pPr>
        <w:spacing w:before="0" w:after="120"/>
      </w:pPr>
      <w:r>
        <w:rPr>
          <w:i/>
          <w:color w:val="444444"/>
        </w:rPr>
        <w:t xml:space="preserve">Review a first South African employee hire for the employing entity, written particulars, minimum wage, hours, leave, payroll registrations, fixed terms, probation, notice, restraints, IP, employee data, employment equity and work authorisation.</w:t>
      </w:r>
    </w:p>
    <w:p>
      <w:pPr>
        <w:spacing w:before="0" w:after="240"/>
      </w:pPr>
      <w:r>
        <w:rPr>
          <w:color w:val="666666"/>
          <w:sz w:val="18"/>
          <w:szCs w:val="18"/>
        </w:rPr>
        <w:t xml:space="preserve">By Steven Obiajulu, J.D. Last reviewed 2026-10-13. License: CC BY 4.0. https://openagreements.org/checklists/hiring/south-africa</w:t>
      </w:r>
    </w:p>
    <w:p>
      <w:pPr>
        <w:spacing w:before="0" w:after="120"/>
      </w:pPr>
      <w:r>
        <w:t xml:space="preserve">This checklist reviews a first South African hire against the Basic Conditions of Employment Act, the Labour Relations Act, the National Minimum Wage Act, the Fourth Schedule to the Income Tax Act, the unemployment insurance, skills levy and compensation statutes, the Protection of Personal Information Act, the Copyright and Patents Acts, the Employment Equity Act and the Immigration Act as in force on 13 October 2026. The </w:t>
      </w:r>
      <w:r>
        <w:t xml:space="preserve">South Africa hiring guide</w:t>
      </w:r>
      <w:r>
        <w:t xml:space="preserve"> explains the reasoning behind each item.</w:t>
      </w:r>
    </w:p>
    <w:p>
      <w:pPr>
        <w:keepNext/>
        <w:spacing w:before="360" w:after="160"/>
      </w:pPr>
      <w:r>
        <w:rPr>
          <w:b/>
          <w:sz w:val="28"/>
          <w:szCs w:val="28"/>
        </w:rPr>
        <w:t xml:space="preserve">1. Employer and coverage</w:t>
      </w:r>
    </w:p>
    <w:p>
      <w:pPr>
        <w:keepNext/>
        <w:spacing w:before="200" w:after="80"/>
      </w:pPr>
      <w:r>
        <w:rPr>
          <w:rFonts w:ascii="Segoe UI Symbol" w:hAnsi="Segoe UI Symbol"/>
        </w:rPr>
        <w:t xml:space="preserve">☐  </w:t>
      </w:r>
      <w:r>
        <w:rPr>
          <w:b/>
        </w:rPr>
        <w:t xml:space="preserve">1.1  </w:t>
      </w:r>
      <w:r>
        <w:rPr>
          <w:b/>
        </w:rPr>
        <w:t xml:space="preserve">External company registration</w:t>
      </w:r>
      <w:r>
        <w:t xml:space="preserve"> — Required (MUST)</w:t>
      </w:r>
    </w:p>
    <w:p>
      <w:pPr>
        <w:spacing w:before="0" w:after="120"/>
        <w:ind w:left="540"/>
      </w:pPr>
      <w:r>
        <w:t xml:space="preserve">If a foreign company is the employer, confirm that it registers with the Companies and Intellectual Property Commission as an external profit or non-profit company, as applicable, within 20 business days after it first conducts business in South Africa, and that it continuously maintains at least one office there, registers that office’s address (or its principal office’s address if it has more than one) when filing its registration and files a notice of change of registered office, with the prescribed fee, for any later change; being a party to an employment contract in South Africa counts as conducting business.</w:t>
      </w:r>
    </w:p>
    <w:p>
      <w:pPr>
        <w:keepNext/>
        <w:spacing w:before="200" w:after="80"/>
      </w:pPr>
      <w:r>
        <w:rPr>
          <w:rFonts w:ascii="Segoe UI Symbol" w:hAnsi="Segoe UI Symbol"/>
        </w:rPr>
        <w:t xml:space="preserve">☐  </w:t>
      </w:r>
      <w:r>
        <w:rPr>
          <w:b/>
        </w:rPr>
        <w:t xml:space="preserve">1.2  </w:t>
      </w:r>
      <w:r>
        <w:rPr>
          <w:b/>
        </w:rPr>
        <w:t xml:space="preserve">Employer, role and workplace particulars</w:t>
      </w:r>
      <w:r>
        <w:t xml:space="preserve"> — Required (MUST)</w:t>
      </w:r>
    </w:p>
    <w:p>
      <w:pPr>
        <w:spacing w:before="0" w:after="120"/>
        <w:ind w:left="540"/>
      </w:pPr>
      <w:r>
        <w:t xml:space="preserve">Where Chapter Four of the Basic Conditions of Employment Act applies, confirm that the written particulars given at commencement state the full name and address of the employer that actually employs the person, the employee’s name and occupation, or a brief description of the work for which the employee is employed, the place of work (with an indication where the employee is required or permitted to work at various places) and the start date. Chapter Four does not cover an employee working less than 24 hours a month for the employer.</w:t>
      </w:r>
    </w:p>
    <w:p>
      <w:pPr>
        <w:keepNext/>
        <w:spacing w:before="200" w:after="80"/>
      </w:pPr>
      <w:r>
        <w:rPr>
          <w:rFonts w:ascii="Segoe UI Symbol" w:hAnsi="Segoe UI Symbol"/>
        </w:rPr>
        <w:t xml:space="preserve">☐  </w:t>
      </w:r>
      <w:r>
        <w:rPr>
          <w:b/>
        </w:rPr>
        <w:t xml:space="preserve">1.3  </w:t>
      </w:r>
      <w:r>
        <w:rPr>
          <w:b/>
        </w:rPr>
        <w:t xml:space="preserve">Contractor classification</w:t>
      </w:r>
      <w:r>
        <w:t xml:space="preserve"> — Recommended (SHOULD)</w:t>
      </w:r>
    </w:p>
    <w:p>
      <w:pPr>
        <w:spacing w:before="0" w:after="120"/>
        <w:ind w:left="540"/>
      </w:pPr>
      <w:r>
        <w:t xml:space="preserve">For any individual engaged as a contractor, record the earnings against the earnings threshold and each section 200A factor present, and treat a person earning no more than the threshold with any factor present as an employee for the purposes of the Labour Relations Act, any employment law and section 98A of the Insolvency Act unless the contrary is shown. Above the threshold, check whether a sectoral presumption applies, such as those in the taxi and forestry determinations, and otherwise record the control, integration and economic-dependence facts rather than relying on the contract label.</w:t>
      </w:r>
    </w:p>
    <w:p>
      <w:pPr>
        <w:keepNext/>
        <w:spacing w:before="360" w:after="160"/>
      </w:pPr>
      <w:r>
        <w:rPr>
          <w:b/>
          <w:sz w:val="28"/>
          <w:szCs w:val="28"/>
        </w:rPr>
        <w:t xml:space="preserve">2. Written terms and pay information</w:t>
      </w:r>
    </w:p>
    <w:p>
      <w:pPr>
        <w:keepNext/>
        <w:spacing w:before="200" w:after="80"/>
      </w:pPr>
      <w:r>
        <w:rPr>
          <w:rFonts w:ascii="Segoe UI Symbol" w:hAnsi="Segoe UI Symbol"/>
        </w:rPr>
        <w:t xml:space="preserve">☐  </w:t>
      </w:r>
      <w:r>
        <w:rPr>
          <w:b/>
        </w:rPr>
        <w:t xml:space="preserve">2.1  </w:t>
      </w:r>
      <w:r>
        <w:rPr>
          <w:b/>
        </w:rPr>
        <w:t xml:space="preserve">Hours, pay and leave particulars</w:t>
      </w:r>
      <w:r>
        <w:t xml:space="preserve"> — Required (MUST)</w:t>
      </w:r>
    </w:p>
    <w:p>
      <w:pPr>
        <w:spacing w:before="0" w:after="120"/>
        <w:ind w:left="540"/>
      </w:pPr>
      <w:r>
        <w:t xml:space="preserve">Where Chapter Four applies, confirm that the written particulars state ordinary hours and days, the employee’s wage or the rate and method of calculating wages, the overtime rate, other cash payments, payments in kind and their value, pay frequency, deductions, leave and the notice period or fixed-term end date. Confirm that each payday comes with the written pay information section 33 requires, including, where relevant to the calculation, the pay and overtime rates, the ordinary and overtime hours worked, the hours worked on a Sunday or public holiday and any averaging-period totals, where Chapter Four applies and the employer has five or more employees, and that this information is given at the workplace or an agreed place during ordinary working hours or within 15 minutes of their start or end. Wherever Chapter Four applies, whatever the employer’s size, confirm that remuneration is paid no later than seven days after the pay period ends or the contract terminates; the termination deadline does not apply to a pension or provident fund payment made under the fund’s rules. For every payment of the national minimum wage, confirm compliance with sections 32, 33 and 34 of the Basic Conditions of Employment Act, including the pay information and the payment deadline.</w:t>
      </w:r>
    </w:p>
    <w:p>
      <w:pPr>
        <w:keepNext/>
        <w:spacing w:before="200" w:after="80"/>
      </w:pPr>
      <w:r>
        <w:rPr>
          <w:rFonts w:ascii="Segoe UI Symbol" w:hAnsi="Segoe UI Symbol"/>
        </w:rPr>
        <w:t xml:space="preserve">☐  </w:t>
      </w:r>
      <w:r>
        <w:rPr>
          <w:b/>
        </w:rPr>
        <w:t xml:space="preserve">2.2  </w:t>
      </w:r>
      <w:r>
        <w:rPr>
          <w:b/>
        </w:rPr>
        <w:t xml:space="preserve">Incorporated documents and changes</w:t>
      </w:r>
      <w:r>
        <w:t xml:space="preserve"> — Required (MUST)</w:t>
      </w:r>
    </w:p>
    <w:p>
      <w:pPr>
        <w:spacing w:before="0" w:after="120"/>
        <w:ind w:left="540"/>
      </w:pPr>
      <w:r>
        <w:t xml:space="preserve">Where Chapter Four applies and the employer has five or more employees, confirm that the particulars describe any applicable council or sectoral determination, any period with a previous employer that counts towards the employee’s service, and each other document forming part of the contract with a reasonably accessible place to obtain a copy. For every employee covered by Chapter Four, confirm that changed particulars are revised and a copy supplied, that an employee who cannot understand them has them explained in a language and manner the employee understands, and that they are kept for three years after the employment ends.</w:t>
      </w:r>
    </w:p>
    <w:p>
      <w:pPr>
        <w:keepNext/>
        <w:spacing w:before="360" w:after="160"/>
      </w:pPr>
      <w:r>
        <w:rPr>
          <w:b/>
          <w:sz w:val="28"/>
          <w:szCs w:val="28"/>
        </w:rPr>
        <w:t xml:space="preserve">3. Pay, hours and leave</w:t>
      </w:r>
    </w:p>
    <w:p>
      <w:pPr>
        <w:keepNext/>
        <w:spacing w:before="200" w:after="80"/>
      </w:pPr>
      <w:r>
        <w:rPr>
          <w:rFonts w:ascii="Segoe UI Symbol" w:hAnsi="Segoe UI Symbol"/>
        </w:rPr>
        <w:t xml:space="preserve">☐  </w:t>
      </w:r>
      <w:r>
        <w:rPr>
          <w:b/>
        </w:rPr>
        <w:t xml:space="preserve">3.1  </w:t>
      </w:r>
      <w:r>
        <w:rPr>
          <w:b/>
        </w:rPr>
        <w:t xml:space="preserve">National minimum wage</w:t>
      </w:r>
      <w:r>
        <w:t xml:space="preserve"> — Required (MUST)</w:t>
      </w:r>
    </w:p>
    <w:p>
      <w:pPr>
        <w:spacing w:before="0" w:after="120"/>
        <w:ind w:left="540"/>
      </w:pPr>
      <w:r>
        <w:t xml:space="preserve">Unless a section 15 exemption applies, confirm that the wage, calculated under section 5(1) of the National Minimum Wage Act as the amount payable in money for ordinary hours, excluding payments that enable the employee to work, such as transport, equipment, tool, food or accommodation allowances, and payments in kind such as board or accommodation (each unless a sectoral determination specifies otherwise), gratuities such as bonuses, tips or gifts, and any other prescribed category of payment, is at least R30.23 an hour from 1 March 2026, or the rate for the applicable category; that no term waives the minimum, which takes precedence over any contrary provision in a contract, collective agreement, sectoral determination or law (except a law amending the National Minimum Wage Act) and forms a term of the contract except where the contract, a collective agreement or a law provides a more favourable wage; and that payments of the minimum wage comply with sections 32, 33 and 34 of the Basic Conditions of Employment Act. Confirm that no wage, hours of work or other condition of employment is unilaterally altered in connection with implementing the national minimum wage (an unfair labour practice to which sections 191, 193, 194(4) and 195 of the Labour Relations Act apply, unless the context indicates otherwise), and that any section 15 exemption relied on is within its specified period of no more than one year, with the wage it specifies paid and its conditions met. Confirm that, subject to section 9A of the Basic Conditions of Employment Act, the employee receives the minimum for the hours worked on any day, and that an employee paid on a basis other than hours worked is paid no less than the minimum for ordinary hours. Record the monthly-to-hourly conversion.</w:t>
      </w:r>
    </w:p>
    <w:p>
      <w:pPr>
        <w:keepNext/>
        <w:spacing w:before="200" w:after="80"/>
      </w:pPr>
      <w:r>
        <w:rPr>
          <w:rFonts w:ascii="Segoe UI Symbol" w:hAnsi="Segoe UI Symbol"/>
        </w:rPr>
        <w:t xml:space="preserve">☐  </w:t>
      </w:r>
      <w:r>
        <w:rPr>
          <w:b/>
        </w:rPr>
        <w:t xml:space="preserve">3.2  </w:t>
      </w:r>
      <w:r>
        <w:rPr>
          <w:b/>
        </w:rPr>
        <w:t xml:space="preserve">Working time and overtime</w:t>
      </w:r>
      <w:r>
        <w:t xml:space="preserve"> — Required (MUST)</w:t>
      </w:r>
    </w:p>
    <w:p>
      <w:pPr>
        <w:spacing w:before="0" w:after="120"/>
        <w:ind w:left="540"/>
      </w:pPr>
      <w:r>
        <w:t xml:space="preserve">For an employee earning no more than R269 600.90 a year (earnings meaning regular annual remuneration before deductions, excluding the employer’s contributions, subsistence and transport allowances, achievement awards and overtime pay) and not excluded by BCEA section 6(1), confirm, except for section 6(2) urgent work (which displaces the section 9 and 10(1) limits but not overtime pay): ordinary hours within section 9 (45 a week; nine a day, eight beyond five days; agreed extensions of up to 15 minutes a day and 60 a week to finish serving members of the public), a written compressed week within section 11, or an unlapsed section 12 averaging agreement; overtime by an unlapsed agreement (one concluded at commencement or in the first three months lapses after one year) within ten hours a week (15 for two months in 12 by collective agreement) unless averaged under section 12, with no overtime agreement requiring or permitting over 12 hours’ work a day; pay of at least one and a half times the wage or, by agreement, either the ordinary wage plus at least 30 minutes’ paid time off, or at least 90 minutes’ paid time off, per overtime hour, granted within one month (12 months by written agreement). Confirm whether a sectoral or ministerial determination covers the hire and apply its terms where they differ from these BCEA defaults, as the expanded public works programmes determination does with its general 40-hour week. For an employer whose business employs fewer than ten employees, other than for domestic workers, the public service, an employer that conducts more than one business or a business formed by dividing or dissolving an existing one, and unless a bargaining council agreement or sectoral determination takes precedence, apply the small business determination: up to 15 overtime hours a week, at least one and one third times the wage for the first ten overtime hours and one and a half times beyond that, and written individual averaging over up to four months within averages of 45 ordinary and ten overtime hours a week, lapsing after 12 months.</w:t>
      </w:r>
    </w:p>
    <w:p>
      <w:pPr>
        <w:keepNext/>
        <w:spacing w:before="200" w:after="80"/>
      </w:pPr>
      <w:r>
        <w:rPr>
          <w:rFonts w:ascii="Segoe UI Symbol" w:hAnsi="Segoe UI Symbol"/>
        </w:rPr>
        <w:t xml:space="preserve">☐  </w:t>
      </w:r>
      <w:r>
        <w:rPr>
          <w:b/>
        </w:rPr>
        <w:t xml:space="preserve">3.3  </w:t>
      </w:r>
      <w:r>
        <w:rPr>
          <w:b/>
        </w:rPr>
        <w:t xml:space="preserve">Annual, sick and parental leave</w:t>
      </w:r>
      <w:r>
        <w:t xml:space="preserve"> — Required (MUST)</w:t>
      </w:r>
    </w:p>
    <w:p>
      <w:pPr>
        <w:spacing w:before="0" w:after="120"/>
        <w:ind w:left="540"/>
      </w:pPr>
      <w:r>
        <w:t xml:space="preserve">For an employee working 24 hours or more a month, and subject to a bargaining-council agreement within the limits of section 49 (which include no cut in annual leave below two weeks, no reduction in maternity, parental, adoption, commissioning parental or sick leave and no conflict with Chapter Six), confirm at least 21 consecutive days’ annual leave on full remuneration per annual leave cycle (12 months’ employment with the same employer immediately following commencement or the end of the prior cycle) or an agreed accrual, on full remuneration, of one day per 17 days, or one hour per 17 hours, worked or entitled to be paid, reducible by any occasional leave on full remuneration granted at the employee’s request in that cycle and, under the small business determination and a written agreement, by the number of days of family responsibility leave granted on full remuneration at the employee’s request; three days’ paid family responsibility leave in each annual leave cycle, at the employee’s request, for the section 27(2) events once section 27(1)’s service and working-day conditions are met, paid subject to section 27(5) at the wage the employee would ordinarily have received for that day on the usual payday, unless a collective agreement varies the days or circumstances; paid sick leave of six weeks’ normal working days per sick leave cycle (36 months’ employment with the same employer immediately following commencement or the end of the prior cycle), one day per 26 days worked in the first six months, less, in the first sick leave cycle, any sick leave taken in those first six months, paid subject to section 23 at the wage the employee would ordinarily have received for that day on the usual payday, unless an agreement reduces daily sick pay to no less than 75% of the ordinary-hours wage while increasing the paid days at least commensurately and keeping total sick pay over the cycle at least equal to the section 22(2) entitlement; and parental leave on all the Van Wyk interim terms, including at least four consecutive months for a single parent or the only employed party in a parental relationship, four months and ten days in aggregate, inclusive of leave under subsections (2) and (3), where both parties are employed; commencement, for a female employee expecting the birth of a child, at any time from four weeks before the expected date of birth unless otherwise agreed, or from a date a medical practitioner or midwife certifies as necessary for her health or that of her unborn child, and otherwise on the day the child is born or the section 25B(2) or 25C(2) date; no work for six weeks after giving birth unless a medical practitioner or midwife certifies fitness; and six weeks after a third-trimester miscarriage or stillbirth, whether or not parental leave had commenced.</w:t>
      </w:r>
    </w:p>
    <w:p>
      <w:pPr>
        <w:keepNext/>
        <w:spacing w:before="360" w:after="160"/>
      </w:pPr>
      <w:r>
        <w:rPr>
          <w:b/>
          <w:sz w:val="28"/>
          <w:szCs w:val="28"/>
        </w:rPr>
        <w:t xml:space="preserve">4. Payroll tax and contributions</w:t>
      </w:r>
    </w:p>
    <w:p>
      <w:pPr>
        <w:keepNext/>
        <w:spacing w:before="200" w:after="80"/>
      </w:pPr>
      <w:r>
        <w:rPr>
          <w:rFonts w:ascii="Segoe UI Symbol" w:hAnsi="Segoe UI Symbol"/>
        </w:rPr>
        <w:t xml:space="preserve">☐  </w:t>
      </w:r>
      <w:r>
        <w:rPr>
          <w:b/>
        </w:rPr>
        <w:t xml:space="preserve">4.1  </w:t>
      </w:r>
      <w:r>
        <w:rPr>
          <w:b/>
        </w:rPr>
        <w:t xml:space="preserve">PAYE registration, deduction and payment</w:t>
      </w:r>
      <w:r>
        <w:t xml:space="preserve"> — Required (MUST)</w:t>
      </w:r>
    </w:p>
    <w:p>
      <w:pPr>
        <w:spacing w:before="0" w:after="120"/>
        <w:ind w:left="540"/>
      </w:pPr>
      <w:r>
        <w:t xml:space="preserve">Confirm that the employer, if resident, or if non-resident with a permanent establishment in South Africa or a representative employer, applies to SARS for registration within 21 business days of becoming an employer unless no employee is liable for normal tax, deducts or withholds employees’ tax from any remuneration it pays or becomes liable to pay (from the employee’s benefit or minimum individual reserve for a lump sum under paragraph 2(1)(b) of the Second Schedule, and in respect of the spouse’s liability where section 7(2) deems the remuneration the spouse’s income), in the amount paragraph 9, 10 or 11 of the Fourth Schedule or section 95 of the Tax Administration Act determines, unless the Commissioner authorises otherwise, and, subject to the Employment Tax Incentive Act, pays it to the Commissioner within seven days after the end of the month during which it was deducted or withheld or, if the employer ceases to be an employer before that month ends, within seven days after ceasing, unless the Commissioner approves a longer period.</w:t>
      </w:r>
    </w:p>
    <w:p>
      <w:pPr>
        <w:keepNext/>
        <w:spacing w:before="200" w:after="80"/>
      </w:pPr>
      <w:r>
        <w:rPr>
          <w:rFonts w:ascii="Segoe UI Symbol" w:hAnsi="Segoe UI Symbol"/>
        </w:rPr>
        <w:t xml:space="preserve">☐  </w:t>
      </w:r>
      <w:r>
        <w:rPr>
          <w:b/>
        </w:rPr>
        <w:t xml:space="preserve">4.2  </w:t>
      </w:r>
      <w:r>
        <w:rPr>
          <w:b/>
        </w:rPr>
        <w:t xml:space="preserve">Unemployment insurance contributions</w:t>
      </w:r>
      <w:r>
        <w:t xml:space="preserve"> — Required (MUST)</w:t>
      </w:r>
    </w:p>
    <w:p>
      <w:pPr>
        <w:spacing w:before="0" w:after="120"/>
        <w:ind w:left="540"/>
      </w:pPr>
      <w:r>
        <w:t xml:space="preserve">For each employee the Unemployment Insurance Contributions Act covers (not, for example, one working under 24 hours a month or a national or provincial government employee), confirm that the employer deducts a 1% employee contribution and adds a 1% employer contribution, each on remuneration paid or payable to the employee during the month, subject to the R17 712 monthly ceiling, and pays the contributions monthly, within the prescribed period, to the Commissioner under section 8 or the Unemployment Insurance Commissioner under section 9, whichever applies to the employer.</w:t>
      </w:r>
    </w:p>
    <w:p>
      <w:pPr>
        <w:keepNext/>
        <w:spacing w:before="200" w:after="80"/>
      </w:pPr>
      <w:r>
        <w:rPr>
          <w:rFonts w:ascii="Segoe UI Symbol" w:hAnsi="Segoe UI Symbol"/>
        </w:rPr>
        <w:t xml:space="preserve">☐  </w:t>
      </w:r>
      <w:r>
        <w:rPr>
          <w:b/>
        </w:rPr>
        <w:t xml:space="preserve">4.3  </w:t>
      </w:r>
      <w:r>
        <w:rPr>
          <w:b/>
        </w:rPr>
        <w:t xml:space="preserve">Skills levy and compensation fund registration</w:t>
      </w:r>
      <w:r>
        <w:t xml:space="preserve"> — Required (MUST)</w:t>
      </w:r>
    </w:p>
    <w:p>
      <w:pPr>
        <w:spacing w:before="0" w:after="120"/>
        <w:ind w:left="540"/>
      </w:pPr>
      <w:r>
        <w:t xml:space="preserve">Confirm that an employer carrying on business in South Africa, unless the Commissioner has exempted it under section 80(4) as an employer referred to in section 84(1)(a) or (b), registers with the Compensation Commissioner within the prescribed period and in the prescribed manner, furnishing the prescribed particulars separately for each business and, within the period the Commissioner determines, any additional particulars the Commissioner requires, and notifies the Commissioner of any change in those particulars within seven days, and that it pays the skills development levy at 1% of its monthly leviable amount as section 3(3)–(4) of the Skills Development Levies Act, as substituted in 2017 and amended in 2024, defines it, or at any rate the Minister announces in the national budget, which applies from the announced date for 12 months subject to Parliament passing implementing legislation within that period, or, for employers within a SETA’s jurisdiction, at a rate and basis the Minister fixes by notice in the Gazette under section 3(5)–(8) on that SETA’s request and in consultation with the Minister of Finance, which may not collect less than the standard rate would, unless a statutory exemption applies, such as a leviable amount not expected to exceed R500 000 over the next 12 months, and that an exempt national or provincial public service employer, or a national or provincial public entity exempt because 80% or more of its expenditure is paid directly or indirectly from funds voted by Parliament, budgets an amount equal to the levies due for its employees’ training and education.</w:t>
      </w:r>
    </w:p>
    <w:p>
      <w:pPr>
        <w:keepNext/>
        <w:spacing w:before="360" w:after="160"/>
      </w:pPr>
      <w:r>
        <w:rPr>
          <w:b/>
          <w:sz w:val="28"/>
          <w:szCs w:val="28"/>
        </w:rPr>
        <w:t xml:space="preserve">5. Probation, fixed terms and termination</w:t>
      </w:r>
    </w:p>
    <w:p>
      <w:pPr>
        <w:keepNext/>
        <w:spacing w:before="200" w:after="80"/>
      </w:pPr>
      <w:r>
        <w:rPr>
          <w:rFonts w:ascii="Segoe UI Symbol" w:hAnsi="Segoe UI Symbol"/>
        </w:rPr>
        <w:t xml:space="preserve">☐  </w:t>
      </w:r>
      <w:r>
        <w:rPr>
          <w:b/>
        </w:rPr>
        <w:t xml:space="preserve">5.1  </w:t>
      </w:r>
      <w:r>
        <w:rPr>
          <w:b/>
        </w:rPr>
        <w:t xml:space="preserve">Fairness preserved in notice and probation</w:t>
      </w:r>
      <w:r>
        <w:t xml:space="preserve"> — Prohibited (MUST NOT)</w:t>
      </w:r>
    </w:p>
    <w:p>
      <w:pPr>
        <w:spacing w:before="0" w:after="120"/>
        <w:ind w:left="540"/>
      </w:pPr>
      <w:r>
        <w:t xml:space="preserve">Describe employment as at will, allow dismissal on notice alone, or end employment automatically when probation expires. If probation is used, confirm a period set in advance and of reasonable duration, having regard to the nature of the job and the time it takes to determine the employee’s suitability for continued employment, guidance during it appropriate to the nature and size of the employer and the job, and an opportunity for representations, which the employer considers, before dismissal or extension. Confirm that, for any dismissal that is not automatically unfair, the employer can show that it was for a fair reason and in accordance with a fair procedure.</w:t>
      </w:r>
    </w:p>
    <w:p>
      <w:pPr>
        <w:keepNext/>
        <w:spacing w:before="200" w:after="80"/>
      </w:pPr>
      <w:r>
        <w:rPr>
          <w:rFonts w:ascii="Segoe UI Symbol" w:hAnsi="Segoe UI Symbol"/>
        </w:rPr>
        <w:t xml:space="preserve">☐  </w:t>
      </w:r>
      <w:r>
        <w:rPr>
          <w:b/>
        </w:rPr>
        <w:t xml:space="preserve">5.2  </w:t>
      </w:r>
      <w:r>
        <w:rPr>
          <w:b/>
        </w:rPr>
        <w:t xml:space="preserve">Fixed-term contracts for lower earners</w:t>
      </w:r>
      <w:r>
        <w:t xml:space="preserve"> — Required (MUST)</w:t>
      </w:r>
    </w:p>
    <w:p>
      <w:pPr>
        <w:spacing w:before="0" w:after="120"/>
        <w:ind w:left="540"/>
      </w:pPr>
      <w:r>
        <w:t xml:space="preserve">If the employee earns no more than the earnings threshold and section 198B(2) does not exclude the contract, confirm that any fixed-term offer, renewal or extension is in writing and states the reason contemplated in section 198B(3)(a) or (b); that fixed-term employment longer than three months, counting successive contracts, rests on work of limited or definite duration or another justifiable reason, failing which the employment is deemed to be of indefinite duration; that the employer can prove the justifiable reason and that the term was agreed if that becomes relevant in proceedings; and that an employee on a fixed term longer than three months is treated no less favourably than a permanent employee doing the same or similar work unless a justifiable reason supports the difference.</w:t>
      </w:r>
    </w:p>
    <w:p>
      <w:pPr>
        <w:keepNext/>
        <w:spacing w:before="200" w:after="80"/>
      </w:pPr>
      <w:r>
        <w:rPr>
          <w:rFonts w:ascii="Segoe UI Symbol" w:hAnsi="Segoe UI Symbol"/>
        </w:rPr>
        <w:t xml:space="preserve">☐  </w:t>
      </w:r>
      <w:r>
        <w:rPr>
          <w:b/>
        </w:rPr>
        <w:t xml:space="preserve">5.3  </w:t>
      </w:r>
      <w:r>
        <w:rPr>
          <w:b/>
        </w:rPr>
        <w:t xml:space="preserve">Notice periods</w:t>
      </w:r>
      <w:r>
        <w:t xml:space="preserve"> — Required (MUST)</w:t>
      </w:r>
    </w:p>
    <w:p>
      <w:pPr>
        <w:spacing w:before="0" w:after="120"/>
        <w:ind w:left="540"/>
      </w:pPr>
      <w:r>
        <w:t xml:space="preserve">Where Chapter Five applies, confirm that, subject to section 38, the notice clause gives at least one week for up to six months’ employment, two weeks for more than six months but less than one year and four weeks from one year (or after more than six months for farm and domestic workers), subject to a collective-agreement reduction of the one-year period to two weeks; that notice is in writing unless an illiterate employee gives it, and is explained orally by or on behalf of the employer, in an official language the employee reasonably understands, to an employee who cannot understand it; and that the employee’s notice is not longer than the employer’s.</w:t>
      </w:r>
    </w:p>
    <w:p>
      <w:pPr>
        <w:keepNext/>
        <w:spacing w:before="200" w:after="80"/>
      </w:pPr>
      <w:r>
        <w:rPr>
          <w:rFonts w:ascii="Segoe UI Symbol" w:hAnsi="Segoe UI Symbol"/>
        </w:rPr>
        <w:t xml:space="preserve">☐  </w:t>
      </w:r>
      <w:r>
        <w:rPr>
          <w:b/>
        </w:rPr>
        <w:t xml:space="preserve">5.4  </w:t>
      </w:r>
      <w:r>
        <w:rPr>
          <w:b/>
        </w:rPr>
        <w:t xml:space="preserve">Retrenchment consultation and severance</w:t>
      </w:r>
      <w:r>
        <w:t xml:space="preserve"> — Required (MUST)</w:t>
      </w:r>
    </w:p>
    <w:p>
      <w:pPr>
        <w:spacing w:before="0" w:after="120"/>
        <w:ind w:left="540"/>
      </w:pPr>
      <w:r>
        <w:t xml:space="preserve">When the employer contemplates dismissing one or more employees for operational requirements, confirm a meaningful joint consensus-seeking consultation with the consulting party section 189(1) identifies, attempting to reach consensus on measures to avoid the dismissals, minimise their number, change their timing and mitigate their adverse effects, on the selection method and on severance pay. Where Chapter Five applies, confirm severance pay, calculated under section 35, of at least one week’s remuneration for each completed year of continuous service with that employer, both on dismissal for operational requirements and on termination under section 38 of the Insolvency Act, unless the employee unreasonably refuses the employer’s offer of alternative employment.</w:t>
      </w:r>
    </w:p>
    <w:p>
      <w:pPr>
        <w:keepNext/>
        <w:spacing w:before="360" w:after="160"/>
      </w:pPr>
      <w:r>
        <w:rPr>
          <w:b/>
          <w:sz w:val="28"/>
          <w:szCs w:val="28"/>
        </w:rPr>
        <w:t xml:space="preserve">6. Restraints, IP and employee data</w:t>
      </w:r>
    </w:p>
    <w:p>
      <w:pPr>
        <w:keepNext/>
        <w:spacing w:before="200" w:after="80"/>
      </w:pPr>
      <w:r>
        <w:rPr>
          <w:rFonts w:ascii="Segoe UI Symbol" w:hAnsi="Segoe UI Symbol"/>
        </w:rPr>
        <w:t xml:space="preserve">☐  </w:t>
      </w:r>
      <w:r>
        <w:rPr>
          <w:b/>
        </w:rPr>
        <w:t xml:space="preserve">6.1  </w:t>
      </w:r>
      <w:r>
        <w:rPr>
          <w:b/>
        </w:rPr>
        <w:t xml:space="preserve">Restraint tied to a protectable interest</w:t>
      </w:r>
      <w:r>
        <w:t xml:space="preserve"> — Recommended (SHOULD)</w:t>
      </w:r>
    </w:p>
    <w:p>
      <w:pPr>
        <w:spacing w:before="0" w:after="120"/>
        <w:ind w:left="540"/>
      </w:pPr>
      <w:r>
        <w:t xml:space="preserve">If the offer includes a post-employment restraint, record the confidential information or customer connections it protects and the employee’s access to them, and limit each restriction, its duration and its territory to that interest. A restraint aimed only at keeping a skilled employee out of the market protects no recognised interest, because employees may use the general knowledge and skills acquired in employment after they leave, even if a new employer benefits.</w:t>
      </w:r>
    </w:p>
    <w:p>
      <w:pPr>
        <w:keepNext/>
        <w:spacing w:before="200" w:after="80"/>
      </w:pPr>
      <w:r>
        <w:rPr>
          <w:rFonts w:ascii="Segoe UI Symbol" w:hAnsi="Segoe UI Symbol"/>
        </w:rPr>
        <w:t xml:space="preserve">☐  </w:t>
      </w:r>
      <w:r>
        <w:rPr>
          <w:b/>
        </w:rPr>
        <w:t xml:space="preserve">6.2  </w:t>
      </w:r>
      <w:r>
        <w:rPr>
          <w:b/>
        </w:rPr>
        <w:t xml:space="preserve">IP assignment and invention terms</w:t>
      </w:r>
      <w:r>
        <w:t xml:space="preserve"> — Required (MUST)</w:t>
      </w:r>
    </w:p>
    <w:p>
      <w:pPr>
        <w:spacing w:before="0" w:after="120"/>
        <w:ind w:left="540"/>
      </w:pPr>
      <w:r>
        <w:t xml:space="preserve">Confirm that any assignment of copyright, including one covering work made outside the course of employment, by a contractor or to a group company, and any exclusive licence or exclusive sublicence, is in writing and signed by or on behalf of the assignor, licensor or exclusive sublicensor. Apply the default rule when reviewing copyright ownership: outside the cases in paragraphs (b) and (c) of section 21(1), the employer owns copyright in a work made in the course of the author’s employment under a contract of service or apprenticeship, subject to any agreement excluding that rule and to section 20. Confirm that no term requires assignment to the employer of inventions made outside the course and scope of employment or restricts the employee’s rights in inventions made more than one year after termination.</w:t>
      </w:r>
    </w:p>
    <w:p>
      <w:pPr>
        <w:keepNext/>
        <w:spacing w:before="200" w:after="80"/>
      </w:pPr>
      <w:r>
        <w:rPr>
          <w:rFonts w:ascii="Segoe UI Symbol" w:hAnsi="Segoe UI Symbol"/>
        </w:rPr>
        <w:t xml:space="preserve">☐  </w:t>
      </w:r>
      <w:r>
        <w:rPr>
          <w:b/>
        </w:rPr>
        <w:t xml:space="preserve">6.3  </w:t>
      </w:r>
      <w:r>
        <w:rPr>
          <w:b/>
        </w:rPr>
        <w:t xml:space="preserve">Employee privacy notice</w:t>
      </w:r>
      <w:r>
        <w:t xml:space="preserve"> — Required (MUST)</w:t>
      </w:r>
    </w:p>
    <w:p>
      <w:pPr>
        <w:spacing w:before="0" w:after="120"/>
        <w:ind w:left="540"/>
      </w:pPr>
      <w:r>
        <w:t xml:space="preserve">Unless a section 18(3) or (4) exception applies, confirm that the employer takes reasonably practicable steps to make the candidate or employee aware of each matter section 18(1) lists: before collecting personal information directly from the person, unless the person is already aware of those matters, and otherwise before collection or as soon as reasonably practicable afterwards. The matters include the information collected and, where it does not come from the person, its source, the purpose, whether supply is voluntary or mandatory, the consequences of not supplying it, any transfer abroad and the person’s rights.</w:t>
      </w:r>
    </w:p>
    <w:p>
      <w:pPr>
        <w:keepNext/>
        <w:spacing w:before="200" w:after="80"/>
      </w:pPr>
      <w:r>
        <w:rPr>
          <w:rFonts w:ascii="Segoe UI Symbol" w:hAnsi="Segoe UI Symbol"/>
        </w:rPr>
        <w:t xml:space="preserve">☐  </w:t>
      </w:r>
      <w:r>
        <w:rPr>
          <w:b/>
        </w:rPr>
        <w:t xml:space="preserve">6.4  </w:t>
      </w:r>
      <w:r>
        <w:rPr>
          <w:b/>
        </w:rPr>
        <w:t xml:space="preserve">Written operator contracts</w:t>
      </w:r>
      <w:r>
        <w:t xml:space="preserve"> — Required (MUST)</w:t>
      </w:r>
    </w:p>
    <w:p>
      <w:pPr>
        <w:spacing w:before="0" w:after="120"/>
        <w:ind w:left="540"/>
      </w:pPr>
      <w:r>
        <w:t xml:space="preserve">If a payroll provider, human resources platform or other operator processes employee information for the employer, confirm that the employer, by a written contract with the operator, ensures that the operator establishes and maintains the security measures POPIA section 19 requires.</w:t>
      </w:r>
    </w:p>
    <w:p>
      <w:pPr>
        <w:keepNext/>
        <w:spacing w:before="200" w:after="80"/>
      </w:pPr>
      <w:r>
        <w:rPr>
          <w:rFonts w:ascii="Segoe UI Symbol" w:hAnsi="Segoe UI Symbol"/>
        </w:rPr>
        <w:t xml:space="preserve">☐  </w:t>
      </w:r>
      <w:r>
        <w:rPr>
          <w:b/>
        </w:rPr>
        <w:t xml:space="preserve">6.5  </w:t>
      </w:r>
      <w:r>
        <w:rPr>
          <w:b/>
        </w:rPr>
        <w:t xml:space="preserve">Basis for transfers abroad</w:t>
      </w:r>
      <w:r>
        <w:t xml:space="preserve"> — Required (MUST)</w:t>
      </w:r>
    </w:p>
    <w:p>
      <w:pPr>
        <w:spacing w:before="0" w:after="120"/>
        <w:ind w:left="540"/>
      </w:pPr>
      <w:r>
        <w:t xml:space="preserve">If employee information goes to a parent company, payroll provider or human resources system abroad, identify the section 72(1) ground relied on, such as the employee’s consent or a binding agreement whose protections are substantially similar to POPIA’s processing conditions and onward-transfer rules. Where the employer plans to transfer special personal information or children’s personal information to a third party in a country without adequate protection, to process unique identifiers for a purpose other than the one intended at collection with the aim of linking them with information processed by other responsible parties, to process information on criminal behaviour or on unlawful or objectionable conduct on behalf of third parties, or to process information for credit reporting, confirm the Regulator’s prior authorisation before any processing, unless a sector code of conduct in force displaces it or an earlier authorisation covers the unchanged processing.</w:t>
      </w:r>
    </w:p>
    <w:p>
      <w:pPr>
        <w:keepNext/>
        <w:spacing w:before="360" w:after="160"/>
      </w:pPr>
      <w:r>
        <w:rPr>
          <w:b/>
          <w:sz w:val="28"/>
          <w:szCs w:val="28"/>
        </w:rPr>
        <w:t xml:space="preserve">7. Employment equity and work authorisation</w:t>
      </w:r>
    </w:p>
    <w:p>
      <w:pPr>
        <w:keepNext/>
        <w:spacing w:before="200" w:after="80"/>
      </w:pPr>
      <w:r>
        <w:rPr>
          <w:rFonts w:ascii="Segoe UI Symbol" w:hAnsi="Segoe UI Symbol"/>
        </w:rPr>
        <w:t xml:space="preserve">☐  </w:t>
      </w:r>
      <w:r>
        <w:rPr>
          <w:b/>
        </w:rPr>
        <w:t xml:space="preserve">7.1  </w:t>
      </w:r>
      <w:r>
        <w:rPr>
          <w:b/>
        </w:rPr>
        <w:t xml:space="preserve">Employment equity duties</w:t>
      </w:r>
      <w:r>
        <w:t xml:space="preserve"> — Required (MUST)</w:t>
      </w:r>
    </w:p>
    <w:p>
      <w:pPr>
        <w:spacing w:before="0" w:after="120"/>
        <w:ind w:left="540"/>
      </w:pPr>
      <w:r>
        <w:t xml:space="preserve">Confirm that hiring policies and practices do not unfairly discriminate on a listed ground or any other arbitrary ground, and that no medical testing of an employee takes place unless legislation permits or requires it or it is justifiable on the listed grounds, and no testing of an employee’s HIV status takes place unless the Labour Court has determined it justifiable under section 50(4). If the employer has 50 or more employees, is a municipality, or is an organ of state other than the excluded National Defence Force, National Intelligence Agency and South African Secret Service, confirm that it treats itself as a designated employer subject to Chapter III. If a collective agreement under section 23 or 31 of the Labour Relations Act that binds the employer appoints it as a designated employer, confirm that it complies with Chapter III to the extent the agreement provides.</w:t>
      </w:r>
    </w:p>
    <w:p>
      <w:pPr>
        <w:keepNext/>
        <w:spacing w:before="200" w:after="80"/>
      </w:pPr>
      <w:r>
        <w:rPr>
          <w:rFonts w:ascii="Segoe UI Symbol" w:hAnsi="Segoe UI Symbol"/>
        </w:rPr>
        <w:t xml:space="preserve">☐  </w:t>
      </w:r>
      <w:r>
        <w:rPr>
          <w:b/>
        </w:rPr>
        <w:t xml:space="preserve">7.2  </w:t>
      </w:r>
      <w:r>
        <w:rPr>
          <w:b/>
        </w:rPr>
        <w:t xml:space="preserve">Foreign national work authorisation</w:t>
      </w:r>
      <w:r>
        <w:t xml:space="preserve"> — Required (MUST)</w:t>
      </w:r>
    </w:p>
    <w:p>
      <w:pPr>
        <w:spacing w:before="0" w:after="120"/>
        <w:ind w:left="540"/>
      </w:pPr>
      <w:r>
        <w:t xml:space="preserve">For a foreign national, confirm and record that the person’s immigration status authorises employment by this employer on the offered terms and in the offered capacity, and that the employer made a good faith check of that status.</w:t>
      </w:r>
    </w:p>
    <w:p>
      <w:pPr>
        <w:spacing w:before="360" w:after="0"/>
      </w:pPr>
      <w:r>
        <w:rPr>
          <w:color w:val="666666"/>
          <w:sz w:val="16"/>
          <w:szCs w:val="16"/>
        </w:rPr>
        <w:t xml:space="preserve">Steven Obiajulu, J.D. edits this reviewer checklist for South Africa — first-employee hiring, written terms, payroll and onboarding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