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w:t>
      </w:r>
    </w:p>
    <w:p>
      <w:pPr>
        <w:spacing w:before="0" w:after="120"/>
      </w:pPr>
      <w:r>
        <w:rPr>
          <w:i/>
          <w:color w:val="444444"/>
        </w:rPr>
        <w:t xml:space="preserve">A clause-by-clause reviewer checklist for employee restrictive covenant agreements — confidentiality, non-solicits, non-competes, and non-disparagement.</w:t>
      </w:r>
    </w:p>
    <w:p>
      <w:pPr>
        <w:spacing w:before="0" w:after="240"/>
      </w:pPr>
      <w:r>
        <w:rPr>
          <w:color w:val="666666"/>
          <w:sz w:val="18"/>
          <w:szCs w:val="18"/>
        </w:rPr>
        <w:t xml:space="preserve">By Steven Obiajulu, J.D. Last reviewed 2026-06-11. License: CC BY 4.0. https://openagreements.org/checklists/non-compete/us</w:t>
      </w:r>
    </w:p>
    <w:p>
      <w:pPr>
        <w:keepNext/>
        <w:spacing w:before="360" w:after="160"/>
      </w:pPr>
      <w:r>
        <w:rPr>
          <w:b/>
          <w:sz w:val="28"/>
          <w:szCs w:val="28"/>
        </w:rPr>
        <w:t xml:space="preserve">1. Parties and cover-term identification</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The employer and the employee should both be named on the face of the agreement — in the cover terms, not just the signature block. A covenant that names the wrong entity, such as a parent company instead of the operating subsidiary that actually employs the worker, invites an enforceability fight before the merits are ever reached.</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Look for a stated effective date. Every covenant clock in the agreement runs from a defined start, so a missing or ambiguous date makes each duration ambiguous along with it.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The employee's title or position should be recorded when known. States increasingly limit who can be bound by a non-compete based on the worker's classification or earnings, so a recorded title and role is the starting evidence for whether this worker can be bound at all.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governing state is named. Restrictive-covenant rules differ sharply by state, and the parties' choice does not control where another state has a materially greater interest and a fundamental policy the chosen law would contravene — New York has refused to apply a Florida choice-of-law clause on exactly that ground — so the selection deserves real attention, not boilerplate treatment.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rest of the agreement builds on what counts as confidential. Look for a definition with real boundaries — categories of protected material plus the standard exclusions for public or independently known information. A definition without those boundaries can operate as a de facto non-compete, and courts have refused to enforce nondisclosure obligations on exactly that ground.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Trade secrets should not be folded into the general confidentiality definition. Trade-secret protection lasts as long as secrecy does, while ordinary confidential information usually carries a stated end date — the duration analysis depends on keeping the two apart.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Every covenant’s duration should point back to a single defined Restricted Period, so you check the timing once instead of re-deriving it clause by clause.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Look for a defined geographic scope tied to where the employee actually worked or where the employer actually competes. Courts measure a covenant's restricted activity, geography, and time against the employer's legitimate business interest — the Restatement (Second) of Contracts § 188 framework most states follow — and an undefined territory is the classic mark of overbreadth.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The protected customer class should be bounded by actual relationship — typically customers, vendors, and referral sources the employee had material contact with during a stated look-back window, not the employer's entire book of business. Courts protect the relationships the employee actually serviced or acquired through the job; a class untethered from contact reads as a restraint on competition itself.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Check for a bounded class — typically colleagues the departing employee worked with or managed during a stated look-back window. A no-poach clause covering every employee of the company sweeps in people the departing worker could not meaningfully influence.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The agreement should say which legitimate business interests the covenants protect — confidential information, customer relationships, workforce stability, goodwill. Under the prevailing common-law standard, a covenant is enforced only to the extent it protects a legitimate business interest of the employer — the Restatement-derived three-prong test — so this definition is the substantive anchor for every covenant that follows, not throat-clearing.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A non-compete is only as workable as its definition of what counts as competing. Look for a description of the actual business activities restrained, rather than a definition that expands to anything the employer might someday do.</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 covenant restricts owning or investing in competitors, look for a passive-ownership carve-out below a stated threshold — commonly one to five percent of a public company's shares, plus diversified funds. Without it, the covenant technically bans holding index funds and ordinary public stock across the industry, which is the kind of overbreadth that gets covenants struck.</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separate defined term for passive holdings is a drafting convenience, not a legal requirement — many agreements simply inline the carve-out language. If the capitalized term appears, confirm its threshold matches the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The definition should say what conduct counts — active outreach, and whether merely accepting unsolicited business is included. Jurisdictions split on whether accepting unsolicited business counts as soliciting, and who initiated contact is a key factor rather than a bright line, so an undefined term converts every departure into a fact fight.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Check what event starts the restriction clock, and whether it covers resignation, termination by the employer, and expiration of a fixed term alike. The cleanest formulations key the Restricted Period to the employment ending for any reason, so the trigger never depends on who ended the relationship or why.</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Look for an acknowledgement of when the agreement was signed relative to the start of employment, and of the consideration supporting it. States vary on what supports a post-hire covenant — Massachusetts requires fair and reasonable consideration independent from continued employment, while Illinois defines adequate consideration by two years of post-signing employment or other adequate benefits — so the acknowledgement preserves the facts an enforcing party will later need.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An acknowledgement that the employee had the opportunity to consult a lawyer is inexpensive enforceability evidence in states that scrutinize procedural fairness. Several states impose procedural conditions on non-competes — Massachusetts, for example, requires the agreement to expressly state the employee's right to consult counsel before signing — so its absence is worth flagging even in a neutral draft.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Confirm the trade-secret obligation runs for as long as the information remains a trade secret, with no fixed end date. Federal and state trade-secret law defines protection by secrecy itself, so a covenant that cuts trade-secret confidentiality off at a fixed term gives away statutory protection for nothing.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Ordinary confidential information should carry its own finite term, separate from the perpetual trade-secret obligation. Courts are skeptical of perpetual restraints on information that never qualified as a trade secret, and the two-track duration structure is the standard cure.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trade-secret law requires this notice. An employer that omits it forfeits exemplary damages and attorney fees in a later misappropriation suit against the employee — a silent, purely self-inflicted loss.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room for employees to discuss wages, hours, and working conditions. Federal labor law protects that speech in every state, and the Board has recently been striking overbroad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Look for a carve-out permitting disclosure required by law, court order, or a government investigation, ideally with notice to the employer where lawful. A confidentiality clause cannot override a subpoena, and the carve-out keeps the employee from being contractually trapped between competing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The agreement should require return or deletion of company materials at termination and a written certification of compliance. The certification converts a vague obligation into a checkable event — and a useful exhibit if a misappropriation dispute follows.</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An optional covenant, and the least-litigated one in the family. When included it should track the defined Covered Employees class and the Restricted Period — workforce stability is a recognized legitimate interest, and courts have upheld reasonably scoped employee non-solicits even while striking broader covenants in the same agreement.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included, confirm the covenant reaches only Covered Customers for the stated Restricted Period. Solicitation generally requires an overt act by the departing employee, so a clause that leaves the term undefined makes customer-initiated business a jurisdiction-dependent fact fight — this covenant and the Solicit definition have to be read together.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goes further than non-solicitation: it bars doing business with covered customers even when they initiate the contact. Jurisdictions disagree on whether merely accepting customer-initiated business breaches a bare non-solicit; a non-dealing clause reaches that conduct expressly and is materially broader — treat its inclusion as a deliberate, jurisdiction-checked choice rather than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non-compete should be the exception rather than the default, and when present it must be bounded — defined territory, defined competitive business, defined period. State treatment runs from enforceable-when-reasonable — the prevailing Restatement-derived rule — to void outright under California's section 16600 line, so the governing state decides how much of this clause survives.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restrict those rather than lean on the broader Competitive Business definition. Courts split three ways on an overbroad covenant — refuse to enforce it, strike the offending words, or reform it to a reasonable scope — so a restraint drafted to actual need is the only universally safe course.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A genuine choice, not a default. When it appears, confirm it keeps the passive public-stock carve-out and runs on the same defined Restricted Period as the other covenants — without the carve-out it bans owning ordinary index-fund-style holdings.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A non-disparagement clause with a stated duration is standard, but check the carve-outs: truthful testimony, statements to government agencies, and other legally protected speech must stay outside its reach. Labor regulators have struck broad versions that chill employees' protected discussion of working conditions, so the carve-outs are what keep the clause enforceable.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Even a general-purpose form should say how it treats physicians, because a growing list of states voids or restricts physician non-competes by statute. A dedicated clause makes the treatment explicit and reviewable instead of leaving it to inference from the general covenants.</w:t>
      </w:r>
    </w:p>
    <w:p>
      <w:pPr>
        <w:spacing w:before="0" w:after="120"/>
        <w:ind w:left="900"/>
      </w:pPr>
      <w:r>
        <w:rPr>
          <w:b/>
        </w:rPr>
        <w:t xml:space="preserve">State variation — Florida (Prohibited (MUST NOT)). </w:t>
      </w:r>
      <w:r>
        <w:t xml:space="preserve">Florida voids a specialist physician's restrictive covenant in any county where one entity employs or contracts with all the physicians practicing that specialty, and keeps it void for three years after a second entity enters — the agreement must not impose a non-compete where that condition is or may be present. </w:t>
      </w:r>
    </w:p>
    <w:p>
      <w:pPr>
        <w:spacing w:before="0" w:after="120"/>
        <w:ind w:left="900"/>
      </w:pPr>
      <w:r>
        <w:rPr>
          <w:b/>
        </w:rPr>
        <w:t xml:space="preserve">State variation — Wyoming (Prohibited (MUST NOT)). </w:t>
      </w:r>
      <w:r>
        <w:t xml:space="preserve">Wyoming voids non-compete provisions in employment, partnership, or corporate agreements between physicians that restrict the right to practice medicine, and separately preserves a departing physician's ability to tell rare-disorder patients where the new practice is.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Look for the employee's representation that no prior agreement or court order blocks performance. It surfaces a previous employer's covenant before day one and gives the new employer a defense against tortious-interference claims.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Whether the employer may tell a future employer about the covenants is a genuine drafting choice, not a default. Notice provisions support enforcement, but exercising them carelessly can itself create tortious-interference exposure — if the clause appears, check that disclosure is conditioned on a reasonable belief of breach.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Restricted Period pauses while the employee is in breach. Courts in a number of jurisdictions refuse to extend an expired restriction absent an express tolling clause, so if the agreement stays silent, a determined breacher can simply run out the clock.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employee's acknowledgement that breach may cause irreparable harm and that injunctive relief is an appropriate remedy. The recital supports — but cannot replace — the showing an enforcing employer must make at the preliminary-injunction stage; in Colorado, for example, the employer still must establish that the covenant fits a statutory exception.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is a commercial choice, not a legal default: if the agreement is silent, fee recovery depends on the governing state's background rules and any applicable statute. In Indiana, for example, fees are available only for frivolous, unreasonable, groundless, or bad-faith litigation absent a contract term.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w:t>
      </w:r>
      <w:r>
        <w:t xml:space="preserve"> — Recommended (SHOULD)</w:t>
      </w:r>
    </w:p>
    <w:p>
      <w:pPr>
        <w:spacing w:before="0" w:after="120"/>
        <w:ind w:left="540"/>
      </w:pPr>
      <w:r>
        <w:t xml:space="preserve">The base position asks the court to trim an overbroad covenant down to an enforceable scope rather than void it. This is the most state-sensitive line in the agreement — confirm the governing state before approving the severability clause. </w:t>
      </w:r>
    </w:p>
    <w:p>
      <w:pPr>
        <w:spacing w:before="0" w:after="120"/>
        <w:ind w:left="900"/>
      </w:pPr>
      <w:r>
        <w:rPr>
          <w:b/>
        </w:rPr>
        <w:t xml:space="preserve">State variation — Florida (Required (MUST)). </w:t>
      </w:r>
      <w:r>
        <w:t xml:space="preserve">Narrowing is statutorily mandatory — the court shall modify an overbroad restraint — and the agreement must not disclaim or contract around it. </w:t>
      </w:r>
    </w:p>
    <w:p>
      <w:pPr>
        <w:spacing w:before="0" w:after="120"/>
        <w:ind w:left="900"/>
      </w:pPr>
      <w:r>
        <w:rPr>
          <w:b/>
        </w:rPr>
        <w:t xml:space="preserve">State variation — Wyoming (Prohibited (MUST NOT)). </w:t>
      </w:r>
      <w:r>
        <w:t xml:space="preserve">The clause must not invite a court to narrow an overbroad covenant. Wyoming courts will not redraft a non-compete; an overbroad covenant is entirely void, so it has to be drafted within the enforceable scope from the start. </w:t>
      </w:r>
    </w:p>
    <w:p>
      <w:pPr>
        <w:spacing w:before="0" w:after="120"/>
        <w:ind w:left="900"/>
      </w:pPr>
      <w:r>
        <w:rPr>
          <w:b/>
        </w:rPr>
        <w:t xml:space="preserve">State variation — California (Avoid (SHOULD NOT)). </w:t>
      </w:r>
      <w:r>
        <w:t xml:space="preserve">California voids an employment non-compete no matter how narrowly tailored, so there is nothing for a court to narrow it into. A savings clause asking a court to enforce the covenant to the maximum extent permitted reads as a form built for another state — drop the void covenant cleanly instead of banking on judicial rescue. </w:t>
      </w:r>
    </w:p>
    <w:p>
      <w:pPr>
        <w:spacing w:before="0" w:after="120"/>
        <w:ind w:left="900"/>
      </w:pPr>
      <w:r>
        <w:rPr>
          <w:b/>
        </w:rPr>
        <w:t xml:space="preserve">State variation — Colorado (Avoid (SHOULD NOT)). </w:t>
      </w:r>
      <w:r>
        <w:t xml:space="preserve">Colorado courts may narrow an overbroad covenant but can never be required to, and a clause cannot obligate them to do it — so drafting broad and banking on judicial trimming risks the covenant itself. Size each restraint to the protected interest from the start. </w:t>
      </w:r>
    </w:p>
    <w:p>
      <w:pPr>
        <w:spacing w:before="0" w:after="120"/>
        <w:ind w:left="900"/>
      </w:pPr>
      <w:r>
        <w:rPr>
          <w:b/>
        </w:rPr>
        <w:t xml:space="preserve">State variation — Georgia (Avoid (SHOULD NOT)). </w:t>
      </w:r>
      <w:r>
        <w:t xml:space="preserve">Georgia gives a court a blue pencil but never makes it pick one up, and its appellate courts have affirmed a refusal to modify — leaving the covenants dead as written. Keeping a modification clause is fine; drafting broad because the clause exists is the mistake. </w:t>
      </w:r>
    </w:p>
    <w:p>
      <w:pPr>
        <w:spacing w:before="0" w:after="120"/>
        <w:ind w:left="900"/>
      </w:pPr>
      <w:r>
        <w:rPr>
          <w:b/>
        </w:rPr>
        <w:t xml:space="preserve">State variation — Illinois (Recommended (SHOULD)). </w:t>
      </w:r>
      <w:r>
        <w:t xml:space="preserve">Authorizing judicial modification helps in Illinois, where whether the parties included such a clause is one factor a court weighs before reforming rather than voiding. But reformation is discretionary and extensive rewriting may offend public policy, so treat the authorization as a tiebreaker for a close case, not a license to overdraft. </w:t>
      </w:r>
    </w:p>
    <w:p>
      <w:pPr>
        <w:spacing w:before="0" w:after="120"/>
        <w:ind w:left="900"/>
      </w:pPr>
      <w:r>
        <w:rPr>
          <w:b/>
        </w:rPr>
        <w:t xml:space="preserve">State variation — Massachusetts (Recommended (SHOULD)). </w:t>
      </w:r>
      <w:r>
        <w:t xml:space="preserve">Massachusetts expressly lets a court, in its discretion, reform a noncompetition agreement to make it enforceable, so reformation-friendly savings language fits. Discretion is not a promise, though — keep the savings clause as a safety net under an already-reasonable covenant, not a reason to draft to the edge. </w:t>
      </w:r>
    </w:p>
    <w:p>
      <w:pPr>
        <w:spacing w:before="0" w:after="120"/>
        <w:ind w:left="900"/>
      </w:pPr>
      <w:r>
        <w:rPr>
          <w:b/>
        </w:rPr>
        <w:t xml:space="preserve">State variation — North Dakota (Avoid (SHOULD NOT)). </w:t>
      </w:r>
      <w:r>
        <w:t xml:space="preserve">North Dakota voids a restraint on a lawful profession or trade, and partial enforcement survives only in sale-of-business settings tied to genuine goodwill — where a court confined an overbroad covenant to the county the purchased business served. Savings language inviting a court to rewrite an employee covenant has no comparable rule to invoke. </w:t>
      </w:r>
    </w:p>
    <w:p>
      <w:pPr>
        <w:spacing w:before="0" w:after="120"/>
        <w:ind w:left="900"/>
      </w:pPr>
      <w:r>
        <w:rPr>
          <w:b/>
        </w:rPr>
        <w:t xml:space="preserve">State variation — Texas (Avoid (SHOULD NOT)). </w:t>
      </w:r>
      <w:r>
        <w:t xml:space="preserve">A Texas court must reform an overbroad but ancillary covenant down to a reasonable restraint and enforce it as reformed — but it may not award damages for any breach before reformation, and relief is limited to an injunction. Drafting broad on the theory the court will fix it trades away the damages claim, so size each covenant to its final scope. </w:t>
      </w:r>
    </w:p>
    <w:p>
      <w:pPr>
        <w:spacing w:before="0" w:after="120"/>
        <w:ind w:left="900"/>
      </w:pPr>
      <w:r>
        <w:rPr>
          <w:b/>
        </w:rPr>
        <w:t xml:space="preserve">State variation — Washington (Avoid (SHOULD NOT)). </w:t>
      </w:r>
      <w:r>
        <w:t xml:space="preserve">Washington courts will trim an overbroad covenant rather than let the whole thing fail, but trimming is a paid event: any reformation makes the employer owe the worker the greater of actual damages or a 5,000 dollar statutory penalty, plus fees. Read a savings clause as the price of overreach, and bring the covenant to court already sized to the legitimate interest.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state its own survival and expiration rather than relying on one bundled survival clause. The covenants run on different clocks — perpetual for trade secrets, fixed terms elsewhere — and per-covenant treatment keeps each duration independently auditable.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Check whether the employer can assign the covenants to a successor or acquirer — and confirm the employee cannot assign at all. Whether a covenant can follow the business to a buyer or successor can turn on deal structure and state law; Pennsylvania, for example, bars assignment in an asset sale absent a specific assignability provision, while Ohio allows successor enforcement after a statutory merger.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the dispute process should be stated together so all three point the same direction. Remember the limits: the chosen law yields where another state has a materially greater interest and a fundamental policy the chosen law would contravene, so the selection manages jurisdictional risk rather than eliminating it.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but check it is actually there: an entire-agreement clause, written-amendment and no-waiver mechanics, and confirmation that electronic signatures and counterparts are valid. These provisions shut down later claims of oral side deals or waiver by inaction.</w:t>
      </w:r>
    </w:p>
    <w:p>
      <w:pPr>
        <w:spacing w:before="360" w:after="0"/>
      </w:pPr>
      <w:r>
        <w:rPr>
          <w:color w:val="666666"/>
          <w:sz w:val="16"/>
          <w:szCs w:val="16"/>
        </w:rPr>
        <w:t xml:space="preserve">Steven Obiajulu, J.D. edits this review checklist for Jurisdiction-neutral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