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0" w:after="120"/>
      </w:pPr>
      <w:r>
        <w:rPr>
          <w:b/>
          <w:sz w:val="48"/>
          <w:szCs w:val="48"/>
        </w:rPr>
        <w:t xml:space="preserve">Non-Compete Agreement Review Checklist — Delaware</w:t>
      </w:r>
    </w:p>
    <w:p>
      <w:pPr>
        <w:spacing w:before="0" w:after="120"/>
      </w:pPr>
      <w:r>
        <w:rPr>
          <w:i/>
          <w:color w:val="444444"/>
        </w:rPr>
        <w:t xml:space="preserve">A clause-by-clause reviewer checklist for Delaware employee restrictive covenant agreements — confidentiality, non-solicits, non-competes, and non-disparagement under Court of Chancery reasonableness review, where recent decisions increasingly refuse to blue-pencil an overbroad covenant rather than rewrite it.</w:t>
      </w:r>
    </w:p>
    <w:p>
      <w:pPr>
        <w:spacing w:before="0" w:after="240"/>
      </w:pPr>
      <w:r>
        <w:rPr>
          <w:color w:val="666666"/>
          <w:sz w:val="18"/>
          <w:szCs w:val="18"/>
        </w:rPr>
        <w:t xml:space="preserve">By Steven Obiajulu, J.D. Last reviewed 2026-06-12. License: CC BY 4.0. https://openagreements.org/checklists/non-compete/us/delaware</w:t>
      </w:r>
    </w:p>
    <w:p>
      <w:pPr>
        <w:keepNext/>
        <w:spacing w:before="360" w:after="160"/>
      </w:pPr>
      <w:r>
        <w:rPr>
          <w:b/>
          <w:sz w:val="28"/>
          <w:szCs w:val="28"/>
        </w:rPr>
        <w:t xml:space="preserve">1. Parties and cover-term identification</w:t>
      </w:r>
    </w:p>
    <w:p>
      <w:pPr>
        <w:spacing w:before="0" w:after="120"/>
      </w:pPr>
      <w:r>
        <w:t xml:space="preserve">Review every item below the way the Court of Chancery would: a covenant must be reasonable in scope and duration, advance a legitimate economic interest, and survive a balancing of the equities — and an overbroad covenant increasingly falls whole, because recent Delaware decisions refuse to blue-pencil what the drafter should have narrowed at signing. For the question-by-question legal analysis behind these items, see the </w:t>
      </w:r>
      <w:r>
        <w:t xml:space="preserve">Delaware non-compete practice note</w:t>
      </w:r>
      <w:r>
        <w:t xml:space="preserve">.</w:t>
      </w:r>
    </w:p>
    <w:p>
      <w:pPr>
        <w:keepNext/>
        <w:spacing w:before="200" w:after="80"/>
      </w:pPr>
      <w:r>
        <w:rPr>
          <w:rFonts w:ascii="Segoe UI Symbol" w:hAnsi="Segoe UI Symbol"/>
        </w:rPr>
        <w:t xml:space="preserve">☐  </w:t>
      </w:r>
      <w:r>
        <w:rPr>
          <w:b/>
        </w:rPr>
        <w:t xml:space="preserve">1.1  </w:t>
      </w:r>
      <w:r>
        <w:rPr>
          <w:b/>
        </w:rPr>
        <w:t xml:space="preserve">Parties identified by name</w:t>
      </w:r>
      <w:r>
        <w:t xml:space="preserve"> — Recommended (SHOULD)</w:t>
      </w:r>
    </w:p>
    <w:p>
      <w:pPr>
        <w:spacing w:before="0" w:after="120"/>
        <w:ind w:left="540"/>
      </w:pPr>
      <w:r>
        <w:t xml:space="preserve">Confirm the named employer is the entity that actually holds the goodwill and confidential information the covenants protect. Delaware recognizes employer goodwill and confidential information as the legitimate interests a restraint may serve, so a covenant running to an affiliate with neither starts the reasonableness review already behind. </w:t>
      </w:r>
    </w:p>
    <w:p>
      <w:pPr>
        <w:keepNext/>
        <w:spacing w:before="200" w:after="80"/>
      </w:pPr>
      <w:r>
        <w:rPr>
          <w:rFonts w:ascii="Segoe UI Symbol" w:hAnsi="Segoe UI Symbol"/>
        </w:rPr>
        <w:t xml:space="preserve">☐  </w:t>
      </w:r>
      <w:r>
        <w:rPr>
          <w:b/>
        </w:rPr>
        <w:t xml:space="preserve">1.2  </w:t>
      </w:r>
      <w:r>
        <w:rPr>
          <w:b/>
        </w:rPr>
        <w:t xml:space="preserve">Effective date</w:t>
      </w:r>
      <w:r>
        <w:t xml:space="preserve"> — Recommended (SHOULD)</w:t>
      </w:r>
    </w:p>
    <w:p>
      <w:pPr>
        <w:spacing w:before="0" w:after="120"/>
        <w:ind w:left="540"/>
      </w:pPr>
      <w:r>
        <w:t xml:space="preserve">The dates anchor two separate questions: when each restricted period starts and ends, and what the worker received at the moment of signing — because Delaware measures consideration at contract formation, not at enforcement. An undated agreement leaves both open. </w:t>
      </w:r>
    </w:p>
    <w:p>
      <w:pPr>
        <w:keepNext/>
        <w:spacing w:before="200" w:after="80"/>
      </w:pPr>
      <w:r>
        <w:rPr>
          <w:rFonts w:ascii="Segoe UI Symbol" w:hAnsi="Segoe UI Symbol"/>
        </w:rPr>
        <w:t xml:space="preserve">☐  </w:t>
      </w:r>
      <w:r>
        <w:rPr>
          <w:b/>
        </w:rPr>
        <w:t xml:space="preserve">1.3  </w:t>
      </w:r>
      <w:r>
        <w:rPr>
          <w:b/>
        </w:rPr>
        <w:t xml:space="preserve">Employee title</w:t>
      </w:r>
      <w:r>
        <w:t xml:space="preserve"> — Recommended (SHOULD)</w:t>
      </w:r>
    </w:p>
    <w:p>
      <w:pPr>
        <w:spacing w:before="0" w:after="120"/>
        <w:ind w:left="540"/>
      </w:pPr>
      <w:r>
        <w:t xml:space="preserve">Title and duties are the first evidence of fit between this worker and this restraint. Delaware demands fact-specific tailoring before enforcing a true restraint on work, and a form covenant pinned to a role with no customer relationships or sensitive access gives the equities little to weigh on the employer's side.</w:t>
      </w:r>
    </w:p>
    <w:p>
      <w:pPr>
        <w:keepNext/>
        <w:spacing w:before="200" w:after="80"/>
      </w:pPr>
      <w:r>
        <w:rPr>
          <w:rFonts w:ascii="Segoe UI Symbol" w:hAnsi="Segoe UI Symbol"/>
        </w:rPr>
        <w:t xml:space="preserve">☐  </w:t>
      </w:r>
      <w:r>
        <w:rPr>
          <w:b/>
        </w:rPr>
        <w:t xml:space="preserve">1.4  </w:t>
      </w:r>
      <w:r>
        <w:rPr>
          <w:b/>
        </w:rPr>
        <w:t xml:space="preserve">Governing law state named</w:t>
      </w:r>
      <w:r>
        <w:t xml:space="preserve"> — Recommended (SHOULD)</w:t>
      </w:r>
    </w:p>
    <w:p>
      <w:pPr>
        <w:spacing w:before="0" w:after="120"/>
        <w:ind w:left="540"/>
      </w:pPr>
      <w:r>
        <w:t xml:space="preserve">Check that a governing state is named. Everything on this page assumes Delaware law controls — Chancery reasonableness review, the refusal trend on blue-penciling, and the two targeted statutes. The deeper question of whether a Delaware selection holds for an out-of-state worker has its own item in the governing-law section below.</w:t>
      </w:r>
    </w:p>
    <w:p>
      <w:pPr>
        <w:keepNext/>
        <w:spacing w:before="360" w:after="160"/>
      </w:pPr>
      <w:r>
        <w:rPr>
          <w:b/>
          <w:sz w:val="28"/>
          <w:szCs w:val="28"/>
        </w:rPr>
        <w:t xml:space="preserve">2. Definitions</w:t>
      </w:r>
    </w:p>
    <w:p>
      <w:pPr>
        <w:keepNext/>
        <w:spacing w:before="200" w:after="80"/>
      </w:pPr>
      <w:r>
        <w:rPr>
          <w:rFonts w:ascii="Segoe UI Symbol" w:hAnsi="Segoe UI Symbol"/>
        </w:rPr>
        <w:t xml:space="preserve">☐  </w:t>
      </w:r>
      <w:r>
        <w:rPr>
          <w:b/>
        </w:rPr>
        <w:t xml:space="preserve">2.1  </w:t>
      </w:r>
      <w:r>
        <w:rPr>
          <w:b/>
        </w:rPr>
        <w:t xml:space="preserve">Confidential information</w:t>
      </w:r>
      <w:r>
        <w:t xml:space="preserve"> — Recommended (SHOULD)</w:t>
      </w:r>
    </w:p>
    <w:p>
      <w:pPr>
        <w:spacing w:before="0" w:after="120"/>
        <w:ind w:left="540"/>
      </w:pPr>
      <w:r>
        <w:t xml:space="preserve">Scope the definition to information that is genuinely confidential. Information that meets Delaware's statutory trade-secret definition is already protected by statute, so the contractual definition earns its keep by covering the sensitive-but-not-secret layer — and a definition so broad it works like an indefinite non-compete invites the reasonableness review that bare confidentiality language is supposed to avoid. </w:t>
      </w:r>
    </w:p>
    <w:p>
      <w:pPr>
        <w:keepNext/>
        <w:spacing w:before="200" w:after="80"/>
      </w:pPr>
      <w:r>
        <w:rPr>
          <w:rFonts w:ascii="Segoe UI Symbol" w:hAnsi="Segoe UI Symbol"/>
        </w:rPr>
        <w:t xml:space="preserve">☐  </w:t>
      </w:r>
      <w:r>
        <w:rPr>
          <w:b/>
        </w:rPr>
        <w:t xml:space="preserve">2.2  </w:t>
      </w:r>
      <w:r>
        <w:rPr>
          <w:b/>
        </w:rPr>
        <w:t xml:space="preserve">Trade secrets</w:t>
      </w:r>
      <w:r>
        <w:t xml:space="preserve"> — Recommended (SHOULD)</w:t>
      </w:r>
    </w:p>
    <w:p>
      <w:pPr>
        <w:spacing w:before="0" w:after="120"/>
        <w:ind w:left="540"/>
      </w:pPr>
      <w:r>
        <w:t xml:space="preserve">Define trade secrets separately and track the statutory elements: independent economic value from secrecy, plus reasonable efforts to keep the information secret. A definition aligned with the Delaware Uniform Trade Secrets Act keeps the contract and the statute pulling in the same direction — and the statutory remedies survive even if a covenant on this page fails. </w:t>
      </w:r>
    </w:p>
    <w:p>
      <w:pPr>
        <w:keepNext/>
        <w:spacing w:before="200" w:after="80"/>
      </w:pPr>
      <w:r>
        <w:rPr>
          <w:rFonts w:ascii="Segoe UI Symbol" w:hAnsi="Segoe UI Symbol"/>
        </w:rPr>
        <w:t xml:space="preserve">☐  </w:t>
      </w:r>
      <w:r>
        <w:rPr>
          <w:b/>
        </w:rPr>
        <w:t xml:space="preserve">2.3  </w:t>
      </w:r>
      <w:r>
        <w:rPr>
          <w:b/>
        </w:rPr>
        <w:t xml:space="preserve">Restricted period</w:t>
      </w:r>
      <w:r>
        <w:t xml:space="preserve"> — Recommended (SHOULD)</w:t>
      </w:r>
    </w:p>
    <w:p>
      <w:pPr>
        <w:spacing w:before="0" w:after="120"/>
        <w:ind w:left="540"/>
      </w:pPr>
      <w:r>
        <w:t xml:space="preserve">The period should read as a fixed, definite stretch of time. Delaware evaluates a covenant holistically — duration counts together with geography, activity scope, and every other restriction in the contract — so an open-ended or event-floated period adds breadth on a dimension the court weighs against everything else at once. </w:t>
      </w:r>
    </w:p>
    <w:p>
      <w:pPr>
        <w:keepNext/>
        <w:spacing w:before="200" w:after="80"/>
      </w:pPr>
      <w:r>
        <w:rPr>
          <w:rFonts w:ascii="Segoe UI Symbol" w:hAnsi="Segoe UI Symbol"/>
        </w:rPr>
        <w:t xml:space="preserve">☐  </w:t>
      </w:r>
      <w:r>
        <w:rPr>
          <w:b/>
        </w:rPr>
        <w:t xml:space="preserve">2.4  </w:t>
      </w:r>
      <w:r>
        <w:rPr>
          <w:b/>
        </w:rPr>
        <w:t xml:space="preserve">Restricted territory</w:t>
      </w:r>
      <w:r>
        <w:t xml:space="preserve"> — Recommended (SHOULD)</w:t>
      </w:r>
    </w:p>
    <w:p>
      <w:pPr>
        <w:spacing w:before="0" w:after="120"/>
        <w:ind w:left="540"/>
      </w:pPr>
      <w:r>
        <w:t xml:space="preserve">Geographic scope is the first prong of the Delaware test: the covenant must be reasonable in geographic scope and temporal duration. Match the territory to where the protected business actually operates and this worker actually reached — breadth here must be earned by the pleaded business reality, not assumed. </w:t>
      </w:r>
    </w:p>
    <w:p>
      <w:pPr>
        <w:keepNext/>
        <w:spacing w:before="200" w:after="80"/>
      </w:pPr>
      <w:r>
        <w:rPr>
          <w:rFonts w:ascii="Segoe UI Symbol" w:hAnsi="Segoe UI Symbol"/>
        </w:rPr>
        <w:t xml:space="preserve">☐  </w:t>
      </w:r>
      <w:r>
        <w:rPr>
          <w:b/>
        </w:rPr>
        <w:t xml:space="preserve">2.5  </w:t>
      </w:r>
      <w:r>
        <w:rPr>
          <w:b/>
        </w:rPr>
        <w:t xml:space="preserve">Covered customers</w:t>
      </w:r>
      <w:r>
        <w:t xml:space="preserve"> — Recommended (SHOULD)</w:t>
      </w:r>
    </w:p>
    <w:p>
      <w:pPr>
        <w:spacing w:before="0" w:after="120"/>
        <w:ind w:left="540"/>
      </w:pPr>
      <w:r>
        <w:t xml:space="preserve">Bound the class to customers the worker had real contact with during a stated look-back window. Delaware credits restraints tied to specific, identified customer relationships — protecting the contracts with the employer's most valued customers is what carried a broad covenant past the pleading stage — and an unbounded customer class gives the equities nothing concrete to credit. </w:t>
      </w:r>
    </w:p>
    <w:p>
      <w:pPr>
        <w:keepNext/>
        <w:spacing w:before="200" w:after="80"/>
      </w:pPr>
      <w:r>
        <w:rPr>
          <w:rFonts w:ascii="Segoe UI Symbol" w:hAnsi="Segoe UI Symbol"/>
        </w:rPr>
        <w:t xml:space="preserve">☐  </w:t>
      </w:r>
      <w:r>
        <w:rPr>
          <w:b/>
        </w:rPr>
        <w:t xml:space="preserve">2.6  </w:t>
      </w:r>
      <w:r>
        <w:rPr>
          <w:b/>
        </w:rPr>
        <w:t xml:space="preserve">Covered employees</w:t>
      </w:r>
      <w:r>
        <w:t xml:space="preserve"> — Recommended (SHOULD)</w:t>
      </w:r>
    </w:p>
    <w:p>
      <w:pPr>
        <w:spacing w:before="0" w:after="120"/>
        <w:ind w:left="540"/>
      </w:pPr>
      <w:r>
        <w:t xml:space="preserve">Keep the no-poach class to colleagues the departing worker actually worked with during a stated look-back window. A class swelling to the employer's whole workforce adds breadth the holistic review counts, and the combined weight of overbroad definitions is exactly what has sunk recent Delaware covenants.</w:t>
      </w:r>
    </w:p>
    <w:p>
      <w:pPr>
        <w:keepNext/>
        <w:spacing w:before="200" w:after="80"/>
      </w:pPr>
      <w:r>
        <w:rPr>
          <w:rFonts w:ascii="Segoe UI Symbol" w:hAnsi="Segoe UI Symbol"/>
        </w:rPr>
        <w:t xml:space="preserve">☐  </w:t>
      </w:r>
      <w:r>
        <w:rPr>
          <w:b/>
        </w:rPr>
        <w:t xml:space="preserve">2.7  </w:t>
      </w:r>
      <w:r>
        <w:rPr>
          <w:b/>
        </w:rPr>
        <w:t xml:space="preserve">Protected business interests</w:t>
      </w:r>
      <w:r>
        <w:t xml:space="preserve"> — Recommended (SHOULD)</w:t>
      </w:r>
    </w:p>
    <w:p>
      <w:pPr>
        <w:spacing w:before="0" w:after="120"/>
        <w:ind w:left="540"/>
      </w:pPr>
      <w:r>
        <w:t xml:space="preserve">Name the specific interests each covenant protects. Delaware's recognized interests are employer goodwill and confidential information, and the covenant must advance a legitimate economic interest of the party enforcing it — so tie each restraint to the goodwill or information this worker actually touched rather than reciting interests in the abstract. </w:t>
      </w:r>
    </w:p>
    <w:p>
      <w:pPr>
        <w:keepNext/>
        <w:spacing w:before="200" w:after="80"/>
      </w:pPr>
      <w:r>
        <w:rPr>
          <w:rFonts w:ascii="Segoe UI Symbol" w:hAnsi="Segoe UI Symbol"/>
        </w:rPr>
        <w:t xml:space="preserve">☐  </w:t>
      </w:r>
      <w:r>
        <w:rPr>
          <w:b/>
        </w:rPr>
        <w:t xml:space="preserve">2.8  </w:t>
      </w:r>
      <w:r>
        <w:rPr>
          <w:b/>
        </w:rPr>
        <w:t xml:space="preserve">Competitive business</w:t>
      </w:r>
      <w:r>
        <w:t xml:space="preserve"> — Recommended (SHOULD)</w:t>
      </w:r>
    </w:p>
    <w:p>
      <w:pPr>
        <w:spacing w:before="0" w:after="120"/>
        <w:ind w:left="540"/>
      </w:pPr>
      <w:r>
        <w:t xml:space="preserve">Describe the competing activity concretely. A definition that swells to everything the employer or its affiliates might do is the signature of the covenants Delaware courts have refused to rescue — a worldwide restraint drafted by a sophisticated party was left to fail as written rather than be revised down to something lawful. </w:t>
      </w:r>
    </w:p>
    <w:p>
      <w:pPr>
        <w:keepNext/>
        <w:spacing w:before="200" w:after="80"/>
      </w:pPr>
      <w:r>
        <w:rPr>
          <w:rFonts w:ascii="Segoe UI Symbol" w:hAnsi="Segoe UI Symbol"/>
        </w:rPr>
        <w:t xml:space="preserve">☐  </w:t>
      </w:r>
      <w:r>
        <w:rPr>
          <w:b/>
        </w:rPr>
        <w:t xml:space="preserve">2.9  </w:t>
      </w:r>
      <w:r>
        <w:rPr>
          <w:b/>
        </w:rPr>
        <w:t xml:space="preserve">Small public-stock carve-out</w:t>
      </w:r>
      <w:r>
        <w:t xml:space="preserve"> — Recommended (SHOULD)</w:t>
      </w:r>
    </w:p>
    <w:p>
      <w:pPr>
        <w:spacing w:before="0" w:after="120"/>
        <w:ind w:left="540"/>
      </w:pPr>
      <w:r>
        <w:t xml:space="preserve">Where the agreement restricts owning or investing in competitors, look for a passive-holdings carve-out below a stated percentage. A clause that technically forbids holding ordinary public shares is breadth with no goodwill or confidential-information story behind it, and it counts against the covenant in a review that weighs every dimension together. </w:t>
      </w:r>
    </w:p>
    <w:p>
      <w:pPr>
        <w:keepNext/>
        <w:spacing w:before="200" w:after="80"/>
      </w:pPr>
      <w:r>
        <w:rPr>
          <w:rFonts w:ascii="Segoe UI Symbol" w:hAnsi="Segoe UI Symbol"/>
        </w:rPr>
        <w:t xml:space="preserve">☐  </w:t>
      </w:r>
      <w:r>
        <w:rPr>
          <w:b/>
        </w:rPr>
        <w:t xml:space="preserve">2.10  </w:t>
      </w:r>
      <w:r>
        <w:rPr>
          <w:b/>
        </w:rPr>
        <w:t xml:space="preserve">Passive public holdings</w:t>
      </w:r>
      <w:r>
        <w:t xml:space="preserve"> — Optional (MAY)</w:t>
      </w:r>
    </w:p>
    <w:p>
      <w:pPr>
        <w:spacing w:before="0" w:after="120"/>
        <w:ind w:left="540"/>
      </w:pPr>
      <w:r>
        <w:t xml:space="preserve">Optional drafting mechanics — many agreements inline the carve-out language without a capitalized term. If the term appears, confirm its percentage matches the operative carve-out it supports.</w:t>
      </w:r>
    </w:p>
    <w:p>
      <w:pPr>
        <w:keepNext/>
        <w:spacing w:before="200" w:after="80"/>
      </w:pPr>
      <w:r>
        <w:rPr>
          <w:rFonts w:ascii="Segoe UI Symbol" w:hAnsi="Segoe UI Symbol"/>
        </w:rPr>
        <w:t xml:space="preserve">☐  </w:t>
      </w:r>
      <w:r>
        <w:rPr>
          <w:b/>
        </w:rPr>
        <w:t xml:space="preserve">2.11  </w:t>
      </w:r>
      <w:r>
        <w:rPr>
          <w:b/>
        </w:rPr>
        <w:t xml:space="preserve">What counts as soliciting</w:t>
      </w:r>
      <w:r>
        <w:t xml:space="preserve"> — Recommended (SHOULD)</w:t>
      </w:r>
    </w:p>
    <w:p>
      <w:pPr>
        <w:spacing w:before="0" w:after="120"/>
        <w:ind w:left="540"/>
      </w:pPr>
      <w:r>
        <w:t xml:space="preserve">Pin down whether the verb covers only initiating contact or also passively accepting an inquiry. The wider reading restrains more conduct, and in Delaware every increment of breadth has to be defended in the same holistic review — a drafter who wants the wider meaning should say so expressly and be ready to justify it.</w:t>
      </w:r>
    </w:p>
    <w:p>
      <w:pPr>
        <w:keepNext/>
        <w:spacing w:before="200" w:after="80"/>
      </w:pPr>
      <w:r>
        <w:rPr>
          <w:rFonts w:ascii="Segoe UI Symbol" w:hAnsi="Segoe UI Symbol"/>
        </w:rPr>
        <w:t xml:space="preserve">☐  </w:t>
      </w:r>
      <w:r>
        <w:rPr>
          <w:b/>
        </w:rPr>
        <w:t xml:space="preserve">2.12  </w:t>
      </w:r>
      <w:r>
        <w:rPr>
          <w:b/>
        </w:rPr>
        <w:t xml:space="preserve">Termination of employment</w:t>
      </w:r>
      <w:r>
        <w:t xml:space="preserve"> — Recommended (SHOULD)</w:t>
      </w:r>
    </w:p>
    <w:p>
      <w:pPr>
        <w:spacing w:before="0" w:after="120"/>
        <w:ind w:left="540"/>
      </w:pPr>
      <w:r>
        <w:t xml:space="preserve">Verify the trigger treats resignation, dismissal, and the end of a fixed term the same way. The restricted period and every survival clock run from this event, and ambiguity about who ended the relationship becomes ambiguity about when the restraint expires.</w:t>
      </w:r>
    </w:p>
    <w:p>
      <w:pPr>
        <w:keepNext/>
        <w:spacing w:before="360" w:after="160"/>
      </w:pPr>
      <w:r>
        <w:rPr>
          <w:b/>
          <w:sz w:val="28"/>
          <w:szCs w:val="28"/>
        </w:rPr>
        <w:t xml:space="preserve">3. Timing and execution acknowledgements</w:t>
      </w:r>
    </w:p>
    <w:p>
      <w:pPr>
        <w:keepNext/>
        <w:spacing w:before="200" w:after="80"/>
      </w:pPr>
      <w:r>
        <w:rPr>
          <w:rFonts w:ascii="Segoe UI Symbol" w:hAnsi="Segoe UI Symbol"/>
        </w:rPr>
        <w:t xml:space="preserve">☐  </w:t>
      </w:r>
      <w:r>
        <w:rPr>
          <w:b/>
        </w:rPr>
        <w:t xml:space="preserve">3.1  </w:t>
      </w:r>
      <w:r>
        <w:rPr>
          <w:b/>
        </w:rPr>
        <w:t xml:space="preserve">What the worker received at signing</w:t>
      </w:r>
      <w:r>
        <w:t xml:space="preserve"> — Recommended (SHOULD)</w:t>
      </w:r>
    </w:p>
    <w:p>
      <w:pPr>
        <w:spacing w:before="0" w:after="120"/>
        <w:ind w:left="540"/>
      </w:pPr>
      <w:r>
        <w:t xml:space="preserve">Record what the worker received for the covenant and when signing happened relative to the first day of work. Delaware can treat continued employment as sufficient consideration where signing is a condition of keeping the position, and the Supreme Court measures consideration at formation rather than at enforcement — but adequacy still matters, because the balancing of the equities lets the court weigh the breadth of the restraint against the consideration that supports it. A recital naming the specific value exchanged does more work than a bare adequacy formula. </w:t>
      </w:r>
    </w:p>
    <w:p>
      <w:pPr>
        <w:keepNext/>
        <w:spacing w:before="200" w:after="80"/>
      </w:pPr>
      <w:r>
        <w:rPr>
          <w:rFonts w:ascii="Segoe UI Symbol" w:hAnsi="Segoe UI Symbol"/>
        </w:rPr>
        <w:t xml:space="preserve">☐  </w:t>
      </w:r>
      <w:r>
        <w:rPr>
          <w:b/>
        </w:rPr>
        <w:t xml:space="preserve">3.2  </w:t>
      </w:r>
      <w:r>
        <w:rPr>
          <w:b/>
        </w:rPr>
        <w:t xml:space="preserve">Chance to consult a lawyer</w:t>
      </w:r>
      <w:r>
        <w:t xml:space="preserve"> — Recommended (SHOULD)</w:t>
      </w:r>
    </w:p>
    <w:p>
      <w:pPr>
        <w:spacing w:before="0" w:after="120"/>
        <w:ind w:left="540"/>
      </w:pPr>
      <w:r>
        <w:t xml:space="preserve">No Delaware statute requires it, but a documented chance to take advice is useful evidence in a review that ends with a balancing of the equities — the court weighs how the covenant was obtained alongside what it restrains. Cheap to include, awkward to be missing.</w:t>
      </w:r>
    </w:p>
    <w:p>
      <w:pPr>
        <w:keepNext/>
        <w:spacing w:before="360" w:after="160"/>
      </w:pPr>
      <w:r>
        <w:rPr>
          <w:b/>
          <w:sz w:val="28"/>
          <w:szCs w:val="28"/>
        </w:rPr>
        <w:t xml:space="preserve">4. Confidentiality and trade-secret treatment</w:t>
      </w:r>
    </w:p>
    <w:p>
      <w:pPr>
        <w:keepNext/>
        <w:spacing w:before="200" w:after="80"/>
      </w:pPr>
      <w:r>
        <w:rPr>
          <w:rFonts w:ascii="Segoe UI Symbol" w:hAnsi="Segoe UI Symbol"/>
        </w:rPr>
        <w:t xml:space="preserve">☐  </w:t>
      </w:r>
      <w:r>
        <w:rPr>
          <w:b/>
        </w:rPr>
        <w:t xml:space="preserve">4.1  </w:t>
      </w:r>
      <w:r>
        <w:rPr>
          <w:b/>
        </w:rPr>
        <w:t xml:space="preserve">Trade-secret protection without an end date</w:t>
      </w:r>
      <w:r>
        <w:t xml:space="preserve"> — Required (MUST)</w:t>
      </w:r>
    </w:p>
    <w:p>
      <w:pPr>
        <w:spacing w:before="0" w:after="120"/>
        <w:ind w:left="540"/>
      </w:pPr>
      <w:r>
        <w:t xml:space="preserve">Trade-secret obligations should run as long as secrecy does. Both federal law and Delaware's own statute key trade-secret status to continued secrecy and reasonable efforts to maintain it, so a fixed expiry on trade-secret protection gives away the one obligation the statutes would otherwise protect indefinitely. </w:t>
      </w:r>
    </w:p>
    <w:p>
      <w:pPr>
        <w:keepNext/>
        <w:spacing w:before="200" w:after="80"/>
      </w:pPr>
      <w:r>
        <w:rPr>
          <w:rFonts w:ascii="Segoe UI Symbol" w:hAnsi="Segoe UI Symbol"/>
        </w:rPr>
        <w:t xml:space="preserve">☐  </w:t>
      </w:r>
      <w:r>
        <w:rPr>
          <w:b/>
        </w:rPr>
        <w:t xml:space="preserve">4.2  </w:t>
      </w:r>
      <w:r>
        <w:rPr>
          <w:b/>
        </w:rPr>
        <w:t xml:space="preserve">Confidentiality end date</w:t>
      </w:r>
      <w:r>
        <w:t xml:space="preserve"> — Recommended (SHOULD)</w:t>
      </w:r>
    </w:p>
    <w:p>
      <w:pPr>
        <w:spacing w:before="0" w:after="120"/>
        <w:ind w:left="540"/>
      </w:pPr>
      <w:r>
        <w:t xml:space="preserve">Give ordinary confidential information its own finite term. Delaware preserves contractual remedies alongside the trade-secret statute, but a confidentiality clause earns that protection by staying a confidentiality clause — drafted around actual confidential information, not run indefinitely as a non-compete by another name. </w:t>
      </w:r>
    </w:p>
    <w:p>
      <w:pPr>
        <w:keepNext/>
        <w:spacing w:before="360" w:after="160"/>
      </w:pPr>
      <w:r>
        <w:rPr>
          <w:b/>
          <w:sz w:val="28"/>
          <w:szCs w:val="28"/>
        </w:rPr>
        <w:t xml:space="preserve">5. Permitted disclosures and protected conduct</w:t>
      </w:r>
    </w:p>
    <w:p>
      <w:pPr>
        <w:keepNext/>
        <w:spacing w:before="200" w:after="80"/>
      </w:pPr>
      <w:r>
        <w:rPr>
          <w:rFonts w:ascii="Segoe UI Symbol" w:hAnsi="Segoe UI Symbol"/>
        </w:rPr>
        <w:t xml:space="preserve">☐  </w:t>
      </w:r>
      <w:r>
        <w:rPr>
          <w:b/>
        </w:rPr>
        <w:t xml:space="preserve">5.1  </w:t>
      </w:r>
      <w:r>
        <w:rPr>
          <w:b/>
        </w:rPr>
        <w:t xml:space="preserve">DTSA whistleblower notice</w:t>
      </w:r>
      <w:r>
        <w:t xml:space="preserve"> — Required (MUST)</w:t>
      </w:r>
    </w:p>
    <w:p>
      <w:pPr>
        <w:spacing w:before="0" w:after="120"/>
        <w:ind w:left="540"/>
      </w:pPr>
      <w:r>
        <w:t xml:space="preserve">Federal and non-negotiable: omit the immunity notice and the employer forfeits exemplary damages and attorney fees in a later federal trade-secret action against the worker. In a state whose courts push employers toward tight covenants backed by statutory trade-secret remedies, those federal remedies are worth keeping intact. </w:t>
      </w:r>
    </w:p>
    <w:p>
      <w:pPr>
        <w:keepNext/>
        <w:spacing w:before="200" w:after="80"/>
      </w:pPr>
      <w:r>
        <w:rPr>
          <w:rFonts w:ascii="Segoe UI Symbol" w:hAnsi="Segoe UI Symbol"/>
        </w:rPr>
        <w:t xml:space="preserve">☐  </w:t>
      </w:r>
      <w:r>
        <w:rPr>
          <w:b/>
        </w:rPr>
        <w:t xml:space="preserve">5.2  </w:t>
      </w:r>
      <w:r>
        <w:rPr>
          <w:b/>
        </w:rPr>
        <w:t xml:space="preserve">Wage-discussion carve-out</w:t>
      </w:r>
      <w:r>
        <w:t xml:space="preserve"> — Required (MUST)</w:t>
      </w:r>
    </w:p>
    <w:p>
      <w:pPr>
        <w:spacing w:before="0" w:after="120"/>
        <w:ind w:left="540"/>
      </w:pPr>
      <w:r>
        <w:t xml:space="preserve">Confidentiality and non-disparagement language has to leave wages, hours, and working conditions discussable. Federal labor law protects that speech regardless of the governing state, and the Board has been striking overbroad clauses in employee agreements. </w:t>
      </w:r>
    </w:p>
    <w:p>
      <w:pPr>
        <w:keepNext/>
        <w:spacing w:before="200" w:after="80"/>
      </w:pPr>
      <w:r>
        <w:rPr>
          <w:rFonts w:ascii="Segoe UI Symbol" w:hAnsi="Segoe UI Symbol"/>
        </w:rPr>
        <w:t xml:space="preserve">☐  </w:t>
      </w:r>
      <w:r>
        <w:rPr>
          <w:b/>
        </w:rPr>
        <w:t xml:space="preserve">5.3  </w:t>
      </w:r>
      <w:r>
        <w:rPr>
          <w:b/>
        </w:rPr>
        <w:t xml:space="preserve">Court-ordered disclosure allowed</w:t>
      </w:r>
      <w:r>
        <w:t xml:space="preserve"> — Recommended (SHOULD)</w:t>
      </w:r>
    </w:p>
    <w:p>
      <w:pPr>
        <w:spacing w:before="0" w:after="120"/>
        <w:ind w:left="540"/>
      </w:pPr>
      <w:r>
        <w:t xml:space="preserve">Confirm the carve-out for disclosure required by law, court order, or a government investigation, with notice to the employer where lawful. A clause purporting to forbid compelled disclosure is unenforceable on that point and adds breadth a Delaware covenant package does not need to carry into the equities.</w:t>
      </w:r>
    </w:p>
    <w:p>
      <w:pPr>
        <w:keepNext/>
        <w:spacing w:before="360" w:after="160"/>
      </w:pPr>
      <w:r>
        <w:rPr>
          <w:b/>
          <w:sz w:val="28"/>
          <w:szCs w:val="28"/>
        </w:rPr>
        <w:t xml:space="preserve">6. Property return and certification</w:t>
      </w:r>
    </w:p>
    <w:p>
      <w:pPr>
        <w:keepNext/>
        <w:spacing w:before="200" w:after="80"/>
      </w:pPr>
      <w:r>
        <w:rPr>
          <w:rFonts w:ascii="Segoe UI Symbol" w:hAnsi="Segoe UI Symbol"/>
        </w:rPr>
        <w:t xml:space="preserve">☐  </w:t>
      </w:r>
      <w:r>
        <w:rPr>
          <w:b/>
        </w:rPr>
        <w:t xml:space="preserve">6.1  </w:t>
      </w:r>
      <w:r>
        <w:rPr>
          <w:b/>
        </w:rPr>
        <w:t xml:space="preserve">Property return and sign-off</w:t>
      </w:r>
      <w:r>
        <w:t xml:space="preserve"> — Recommended (SHOULD)</w:t>
      </w:r>
    </w:p>
    <w:p>
      <w:pPr>
        <w:spacing w:before="0" w:after="120"/>
        <w:ind w:left="540"/>
      </w:pPr>
      <w:r>
        <w:t xml:space="preserve">Return-or-delete at separation, certified in writing. Delaware's trade-secret statute conditions protection on efforts that are reasonable under the circumstances to maintain secrecy, so a disciplined exit procedure is not just housekeeping — it is part of the secrecy record the statute asks for. </w:t>
      </w:r>
    </w:p>
    <w:p>
      <w:pPr>
        <w:keepNext/>
        <w:spacing w:before="360" w:after="160"/>
      </w:pPr>
      <w:r>
        <w:rPr>
          <w:b/>
          <w:sz w:val="28"/>
          <w:szCs w:val="28"/>
        </w:rPr>
        <w:t xml:space="preserve">7. Restrictive covenants (each independently includable)</w:t>
      </w:r>
    </w:p>
    <w:p>
      <w:pPr>
        <w:keepNext/>
        <w:spacing w:before="200" w:after="80"/>
      </w:pPr>
      <w:r>
        <w:rPr>
          <w:rFonts w:ascii="Segoe UI Symbol" w:hAnsi="Segoe UI Symbol"/>
        </w:rPr>
        <w:t xml:space="preserve">☐  </w:t>
      </w:r>
      <w:r>
        <w:rPr>
          <w:b/>
        </w:rPr>
        <w:t xml:space="preserve">7.1  </w:t>
      </w:r>
      <w:r>
        <w:rPr>
          <w:b/>
        </w:rPr>
        <w:t xml:space="preserve">Employee non-solicit</w:t>
      </w:r>
      <w:r>
        <w:t xml:space="preserve"> — Optional (MAY)</w:t>
      </w:r>
    </w:p>
    <w:p>
      <w:pPr>
        <w:spacing w:before="0" w:after="120"/>
        <w:ind w:left="540"/>
      </w:pPr>
      <w:r>
        <w:t xml:space="preserve">Optional and usually the least contested covenant in the suite — but in Delaware it is not reviewed in isolation. The court weighs how each restriction operates with the others in the contract, so even a modest no-poach clause should stay scoped to real working relationships rather than padding the package with breadth the whole suite then has to defend. </w:t>
      </w:r>
    </w:p>
    <w:p>
      <w:pPr>
        <w:keepNext/>
        <w:spacing w:before="200" w:after="80"/>
      </w:pPr>
      <w:r>
        <w:rPr>
          <w:rFonts w:ascii="Segoe UI Symbol" w:hAnsi="Segoe UI Symbol"/>
        </w:rPr>
        <w:t xml:space="preserve">☐  </w:t>
      </w:r>
      <w:r>
        <w:rPr>
          <w:b/>
        </w:rPr>
        <w:t xml:space="preserve">7.2  </w:t>
      </w:r>
      <w:r>
        <w:rPr>
          <w:b/>
        </w:rPr>
        <w:t xml:space="preserve">Customer non-solicit</w:t>
      </w:r>
      <w:r>
        <w:t xml:space="preserve"> — Optional (MAY)</w:t>
      </w:r>
    </w:p>
    <w:p>
      <w:pPr>
        <w:spacing w:before="0" w:after="120"/>
        <w:ind w:left="540"/>
      </w:pPr>
      <w:r>
        <w:t xml:space="preserve">Optional, and most defensible when tied to identified customer relationships. A restraint built around specific contracts with the employer's most valued customers is the kind of business-specific interest Delaware credits; one built around the whole book of business asks the equities to protect competition itself. </w:t>
      </w:r>
    </w:p>
    <w:p>
      <w:pPr>
        <w:keepNext/>
        <w:spacing w:before="200" w:after="80"/>
      </w:pPr>
      <w:r>
        <w:rPr>
          <w:rFonts w:ascii="Segoe UI Symbol" w:hAnsi="Segoe UI Symbol"/>
        </w:rPr>
        <w:t xml:space="preserve">☐  </w:t>
      </w:r>
      <w:r>
        <w:rPr>
          <w:b/>
        </w:rPr>
        <w:t xml:space="preserve">7.3  </w:t>
      </w:r>
      <w:r>
        <w:rPr>
          <w:b/>
        </w:rPr>
        <w:t xml:space="preserve">Non-dealing covenant</w:t>
      </w:r>
      <w:r>
        <w:t xml:space="preserve"> — Optional (MAY)</w:t>
      </w:r>
    </w:p>
    <w:p>
      <w:pPr>
        <w:spacing w:before="0" w:after="120"/>
        <w:ind w:left="540"/>
      </w:pPr>
      <w:r>
        <w:t xml:space="preserve">Barring the worker from serving covered customers even when the customer calls first restrains accepting work, not just chasing it. That extra breadth is a dimension the holistic review weighs against the rest of the package — insist on a tight, contact-based customer class before this clause earns its place. </w:t>
      </w:r>
    </w:p>
    <w:p>
      <w:pPr>
        <w:keepNext/>
        <w:spacing w:before="200" w:after="80"/>
      </w:pPr>
      <w:r>
        <w:rPr>
          <w:rFonts w:ascii="Segoe UI Symbol" w:hAnsi="Segoe UI Symbol"/>
        </w:rPr>
        <w:t xml:space="preserve">☐  </w:t>
      </w:r>
      <w:r>
        <w:rPr>
          <w:b/>
        </w:rPr>
        <w:t xml:space="preserve">7.4  </w:t>
      </w:r>
      <w:r>
        <w:rPr>
          <w:b/>
        </w:rPr>
        <w:t xml:space="preserve">Non-compete covenant</w:t>
      </w:r>
      <w:r>
        <w:t xml:space="preserve"> — Optional (MAY)</w:t>
      </w:r>
    </w:p>
    <w:p>
      <w:pPr>
        <w:spacing w:before="0" w:after="120"/>
        <w:ind w:left="540"/>
      </w:pPr>
      <w:r>
        <w:t xml:space="preserve">A Delaware non-compete must be reasonable in geographic scope and temporal duration, advance a legitimate economic interest, and survive a balancing of the equities — and the modern decisions make the stakes explicit: an overbroad covenant may not be enforced even in part, because partial enforcement of overreach is itself inequitable. Review the clause as the court would, package and record together. </w:t>
      </w:r>
    </w:p>
    <w:p>
      <w:pPr>
        <w:keepNext/>
        <w:spacing w:before="200" w:after="80"/>
      </w:pPr>
      <w:r>
        <w:rPr>
          <w:rFonts w:ascii="Segoe UI Symbol" w:hAnsi="Segoe UI Symbol"/>
        </w:rPr>
        <w:t xml:space="preserve">☐  </w:t>
      </w:r>
      <w:r>
        <w:rPr>
          <w:b/>
        </w:rPr>
        <w:t xml:space="preserve">7.5  </w:t>
      </w:r>
      <w:r>
        <w:rPr>
          <w:b/>
        </w:rPr>
        <w:t xml:space="preserve">Named-competitor narrowing</w:t>
      </w:r>
      <w:r>
        <w:t xml:space="preserve"> — Recommended (SHOULD)</w:t>
      </w:r>
    </w:p>
    <w:p>
      <w:pPr>
        <w:spacing w:before="0" w:after="120"/>
        <w:ind w:left="540"/>
      </w:pPr>
      <w:r>
        <w:t xml:space="preserve">When the employer can name its real competitors, bind those names instead of leaning on an open-ended definition. Delaware's refusal trend is incentive-driven — courts will not reward drafting broad and litigating narrow, because rescuing unreasonable covenants would teach employers to stop crafting reasonable ones — so the narrowing has to happen at the drafting table. </w:t>
      </w:r>
    </w:p>
    <w:p>
      <w:pPr>
        <w:keepNext/>
        <w:spacing w:before="200" w:after="80"/>
      </w:pPr>
      <w:r>
        <w:rPr>
          <w:rFonts w:ascii="Segoe UI Symbol" w:hAnsi="Segoe UI Symbol"/>
        </w:rPr>
        <w:t xml:space="preserve">☐  </w:t>
      </w:r>
      <w:r>
        <w:rPr>
          <w:b/>
        </w:rPr>
        <w:t xml:space="preserve">7.6  </w:t>
      </w:r>
      <w:r>
        <w:rPr>
          <w:b/>
        </w:rPr>
        <w:t xml:space="preserve">Non-investment covenant</w:t>
      </w:r>
      <w:r>
        <w:t xml:space="preserve"> — Optional (MAY)</w:t>
      </w:r>
    </w:p>
    <w:p>
      <w:pPr>
        <w:spacing w:before="0" w:after="120"/>
        <w:ind w:left="540"/>
      </w:pPr>
      <w:r>
        <w:t xml:space="preserve">Rare and deliberate. Confirm the passive-holdings carve-out is intact and the clause shares the defined Restricted Period; an investment restraint with indefinite reach is breadth with no goodwill or confidential-information story, and the holistic review will weigh it against the whole package.</w:t>
      </w:r>
    </w:p>
    <w:p>
      <w:pPr>
        <w:keepNext/>
        <w:spacing w:before="360" w:after="160"/>
      </w:pPr>
      <w:r>
        <w:rPr>
          <w:b/>
          <w:sz w:val="28"/>
          <w:szCs w:val="28"/>
        </w:rPr>
        <w:t xml:space="preserve">8. Non-disparagement</w:t>
      </w:r>
    </w:p>
    <w:p>
      <w:pPr>
        <w:keepNext/>
        <w:spacing w:before="200" w:after="80"/>
      </w:pPr>
      <w:r>
        <w:rPr>
          <w:rFonts w:ascii="Segoe UI Symbol" w:hAnsi="Segoe UI Symbol"/>
        </w:rPr>
        <w:t xml:space="preserve">☐  </w:t>
      </w:r>
      <w:r>
        <w:rPr>
          <w:b/>
        </w:rPr>
        <w:t xml:space="preserve">8.1  </w:t>
      </w:r>
      <w:r>
        <w:rPr>
          <w:b/>
        </w:rPr>
        <w:t xml:space="preserve">Non-disparagement</w:t>
      </w:r>
      <w:r>
        <w:t xml:space="preserve"> — Recommended (SHOULD)</w:t>
      </w:r>
    </w:p>
    <w:p>
      <w:pPr>
        <w:spacing w:before="0" w:after="120"/>
        <w:ind w:left="540"/>
      </w:pPr>
      <w:r>
        <w:t xml:space="preserve">Standard to include with a stated term, but audit the carve-outs: truthful testimony, statements to government agencies, and protected workplace speech must sit outside the clause. Federal labor law polices overbroad versions in every state. </w:t>
      </w:r>
    </w:p>
    <w:p>
      <w:pPr>
        <w:keepNext/>
        <w:spacing w:before="360" w:after="160"/>
      </w:pPr>
      <w:r>
        <w:rPr>
          <w:b/>
          <w:sz w:val="28"/>
          <w:szCs w:val="28"/>
        </w:rPr>
        <w:t xml:space="preserve">9. Physician-specific notices and carve-outs</w:t>
      </w:r>
    </w:p>
    <w:p>
      <w:pPr>
        <w:keepNext/>
        <w:spacing w:before="200" w:after="80"/>
      </w:pPr>
      <w:r>
        <w:rPr>
          <w:rFonts w:ascii="Segoe UI Symbol" w:hAnsi="Segoe UI Symbol"/>
        </w:rPr>
        <w:t xml:space="preserve">☐  </w:t>
      </w:r>
      <w:r>
        <w:rPr>
          <w:b/>
        </w:rPr>
        <w:t xml:space="preserve">9.1  </w:t>
      </w:r>
      <w:r>
        <w:rPr>
          <w:b/>
        </w:rPr>
        <w:t xml:space="preserve">Physician rights and notices</w:t>
      </w:r>
      <w:r>
        <w:t xml:space="preserve"> — Recommended (SHOULD)</w:t>
      </w:r>
    </w:p>
    <w:p>
      <w:pPr>
        <w:spacing w:before="0" w:after="120"/>
        <w:ind w:left="540"/>
      </w:pPr>
      <w:r>
        <w:t xml:space="preserve">Delaware has a targeted physician statute, so the dedicated clause has real work to do: a covenant restricting a physician's right to practice medicine in a particular locale or for a defined period after termination is void, while the rest of the agreement stays enforceable — including damages provisions reasonably related to the injury from termination, which may include damages related to competition. The clause should state that split expressly: no practice restraint, and any damages provision kept separate and tied to actual injury. The full prohibition is enforced as a gate at the end of this checklist. </w:t>
      </w:r>
    </w:p>
    <w:p>
      <w:pPr>
        <w:keepNext/>
        <w:spacing w:before="360" w:after="160"/>
      </w:pPr>
      <w:r>
        <w:rPr>
          <w:b/>
          <w:sz w:val="28"/>
          <w:szCs w:val="28"/>
        </w:rPr>
        <w:t xml:space="preserve">10. No conflicting obligations</w:t>
      </w:r>
    </w:p>
    <w:p>
      <w:pPr>
        <w:keepNext/>
        <w:spacing w:before="200" w:after="80"/>
      </w:pPr>
      <w:r>
        <w:rPr>
          <w:rFonts w:ascii="Segoe UI Symbol" w:hAnsi="Segoe UI Symbol"/>
        </w:rPr>
        <w:t xml:space="preserve">☐  </w:t>
      </w:r>
      <w:r>
        <w:rPr>
          <w:b/>
        </w:rPr>
        <w:t xml:space="preserve">10.1  </w:t>
      </w:r>
      <w:r>
        <w:rPr>
          <w:b/>
        </w:rPr>
        <w:t xml:space="preserve">No conflicting obligations</w:t>
      </w:r>
      <w:r>
        <w:t xml:space="preserve"> — Recommended (SHOULD)</w:t>
      </w:r>
    </w:p>
    <w:p>
      <w:pPr>
        <w:spacing w:before="0" w:after="120"/>
        <w:ind w:left="540"/>
      </w:pPr>
      <w:r>
        <w:t xml:space="preserve">The worker's representation that no earlier agreement blocks the new role. On intake it cuts both ways: an incoming covenant from a prior employer may fail Delaware's reasonableness review, but one that survives it — or a forfeiture condition on equity the worker is walking away from — is a genuine hazard for the hiring employer, better surfaced before the first customer call.</w:t>
      </w:r>
    </w:p>
    <w:p>
      <w:pPr>
        <w:keepNext/>
        <w:spacing w:before="360" w:after="160"/>
      </w:pPr>
      <w:r>
        <w:rPr>
          <w:b/>
          <w:sz w:val="28"/>
          <w:szCs w:val="28"/>
        </w:rPr>
        <w:t xml:space="preserve">11. Notice to future employers and other third parties</w:t>
      </w:r>
    </w:p>
    <w:p>
      <w:pPr>
        <w:keepNext/>
        <w:spacing w:before="200" w:after="80"/>
      </w:pPr>
      <w:r>
        <w:rPr>
          <w:rFonts w:ascii="Segoe UI Symbol" w:hAnsi="Segoe UI Symbol"/>
        </w:rPr>
        <w:t xml:space="preserve">☐  </w:t>
      </w:r>
      <w:r>
        <w:rPr>
          <w:b/>
        </w:rPr>
        <w:t xml:space="preserve">11.1  </w:t>
      </w:r>
      <w:r>
        <w:rPr>
          <w:b/>
        </w:rPr>
        <w:t xml:space="preserve">Notice to future employers</w:t>
      </w:r>
      <w:r>
        <w:t xml:space="preserve"> — Optional (MAY)</w:t>
      </w:r>
    </w:p>
    <w:p>
      <w:pPr>
        <w:spacing w:before="0" w:after="120"/>
        <w:ind w:left="540"/>
      </w:pPr>
      <w:r>
        <w:t xml:space="preserve">A drafting choice, not a legal requirement. Notice provisions can support later enforcement, but a letter asserting a covenant the Court of Chancery would refuse to enforce — and refuse to narrow — overstates the employer's position and creates its own interference exposure. Condition any notice practice on a covenant that actually survives the review this page walks through.</w:t>
      </w:r>
    </w:p>
    <w:p>
      <w:pPr>
        <w:keepNext/>
        <w:spacing w:before="360" w:after="160"/>
      </w:pPr>
      <w:r>
        <w:rPr>
          <w:b/>
          <w:sz w:val="28"/>
          <w:szCs w:val="28"/>
        </w:rPr>
        <w:t xml:space="preserve">12. Tolling during breach</w:t>
      </w:r>
    </w:p>
    <w:p>
      <w:pPr>
        <w:keepNext/>
        <w:spacing w:before="200" w:after="80"/>
      </w:pPr>
      <w:r>
        <w:rPr>
          <w:rFonts w:ascii="Segoe UI Symbol" w:hAnsi="Segoe UI Symbol"/>
        </w:rPr>
        <w:t xml:space="preserve">☐  </w:t>
      </w:r>
      <w:r>
        <w:rPr>
          <w:b/>
        </w:rPr>
        <w:t xml:space="preserve">12.1  </w:t>
      </w:r>
      <w:r>
        <w:rPr>
          <w:b/>
        </w:rPr>
        <w:t xml:space="preserve">Restriction extended during a breach?</w:t>
      </w:r>
      <w:r>
        <w:t xml:space="preserve"> — Recommended (SHOULD)</w:t>
      </w:r>
    </w:p>
    <w:p>
      <w:pPr>
        <w:spacing w:before="0" w:after="120"/>
        <w:ind w:left="540"/>
      </w:pPr>
      <w:r>
        <w:t xml:space="preserve">State expressly whether the restricted period pauses while the worker is in breach — but know that no surveyed Delaware statute or decision blesses or rejects tolling. Treat any tolling clause as added duration: it is one more dimension of the covenant that the court evaluates together with everything else in the contract, and an employer should not assume a Delaware court will extend an expired restraint it never promised to extend. </w:t>
      </w:r>
    </w:p>
    <w:p>
      <w:pPr>
        <w:keepNext/>
        <w:spacing w:before="360" w:after="160"/>
      </w:pPr>
      <w:r>
        <w:rPr>
          <w:b/>
          <w:sz w:val="28"/>
          <w:szCs w:val="28"/>
        </w:rPr>
        <w:t xml:space="preserve">13. Remedies</w:t>
      </w:r>
    </w:p>
    <w:p>
      <w:pPr>
        <w:keepNext/>
        <w:spacing w:before="200" w:after="80"/>
      </w:pPr>
      <w:r>
        <w:rPr>
          <w:rFonts w:ascii="Segoe UI Symbol" w:hAnsi="Segoe UI Symbol"/>
        </w:rPr>
        <w:t xml:space="preserve">☐  </w:t>
      </w:r>
      <w:r>
        <w:rPr>
          <w:b/>
        </w:rPr>
        <w:t xml:space="preserve">13.1  </w:t>
      </w:r>
      <w:r>
        <w:rPr>
          <w:b/>
        </w:rPr>
        <w:t xml:space="preserve">Injunction availability</w:t>
      </w:r>
      <w:r>
        <w:t xml:space="preserve"> — Recommended (SHOULD)</w:t>
      </w:r>
    </w:p>
    <w:p>
      <w:pPr>
        <w:spacing w:before="0" w:after="120"/>
        <w:ind w:left="540"/>
      </w:pPr>
      <w:r>
        <w:t xml:space="preserve">The irreparable-harm acknowledgement is standard and harmless — but in the Court of Chancery it buys nothing on its own. Relief presupposes a covenant that first survives the reasonableness review and the balancing of the equities, and recent decisions show the court denying enforcement outright where the restraint overreached.</w:t>
      </w:r>
    </w:p>
    <w:p>
      <w:pPr>
        <w:keepNext/>
        <w:spacing w:before="200" w:after="80"/>
      </w:pPr>
      <w:r>
        <w:rPr>
          <w:rFonts w:ascii="Segoe UI Symbol" w:hAnsi="Segoe UI Symbol"/>
        </w:rPr>
        <w:t xml:space="preserve">☐  </w:t>
      </w:r>
      <w:r>
        <w:rPr>
          <w:b/>
        </w:rPr>
        <w:t xml:space="preserve">13.2  </w:t>
      </w:r>
      <w:r>
        <w:rPr>
          <w:b/>
        </w:rPr>
        <w:t xml:space="preserve">Attorney fees and costs</w:t>
      </w:r>
      <w:r>
        <w:t xml:space="preserve"> — Optional (MAY)</w:t>
      </w:r>
    </w:p>
    <w:p>
      <w:pPr>
        <w:spacing w:before="0" w:after="120"/>
        <w:ind w:left="540"/>
      </w:pPr>
      <w:r>
        <w:t xml:space="preserve">A commercial choice: with no fee clause, each side bears its own costs under the default American Rule. Delaware's trade-secret statute adds its own fee-shifting for bad-faith claims and wilful misappropriation, independent of anything the contract says — so a contractual fee clause should be checked for mutuality rather than treated as the only path to fees. </w:t>
      </w:r>
    </w:p>
    <w:p>
      <w:pPr>
        <w:keepNext/>
        <w:spacing w:before="360" w:after="160"/>
      </w:pPr>
      <w:r>
        <w:rPr>
          <w:b/>
          <w:sz w:val="28"/>
          <w:szCs w:val="28"/>
        </w:rPr>
        <w:t xml:space="preserve">14. Severability and reformation</w:t>
      </w:r>
    </w:p>
    <w:p>
      <w:pPr>
        <w:keepNext/>
        <w:spacing w:before="200" w:after="80"/>
      </w:pPr>
      <w:r>
        <w:rPr>
          <w:rFonts w:ascii="Segoe UI Symbol" w:hAnsi="Segoe UI Symbol"/>
        </w:rPr>
        <w:t xml:space="preserve">☐  </w:t>
      </w:r>
      <w:r>
        <w:rPr>
          <w:b/>
        </w:rPr>
        <w:t xml:space="preserve">14.1  </w:t>
      </w:r>
      <w:r>
        <w:rPr>
          <w:b/>
        </w:rPr>
        <w:t xml:space="preserve">Real scope in the contract, not a court rescue</w:t>
      </w:r>
      <w:r>
        <w:t xml:space="preserve"> — Avoid (SHOULD NOT)</w:t>
      </w:r>
    </w:p>
    <w:p>
      <w:pPr>
        <w:spacing w:before="0" w:after="120"/>
        <w:ind w:left="540"/>
      </w:pPr>
      <w:r>
        <w:t xml:space="preserve">Read the severability boilerplate against what Delaware courts have actually been doing. The power to blue-pencil exists — the Supreme Court took care not to say that Delaware courts should never narrow an overbroad agreement — but the recent decisions refuse to use it as a rescue: partial enforcement of an overbroad covenant was called inequitable, a worldwide restraint was left to fail rather than be revised for a sophisticated party, and the court warned that saving unreasonable covenants would teach employers to stop drafting reasonable ones. So do not review a savings clause as a safety net. Put the actual enforceable scope in the contract — protected business, restricted activities, customer set, geography, duration — and treat anything broader as already lost. </w:t>
      </w:r>
    </w:p>
    <w:p>
      <w:pPr>
        <w:keepNext/>
        <w:spacing w:before="360" w:after="160"/>
      </w:pPr>
      <w:r>
        <w:rPr>
          <w:b/>
          <w:sz w:val="28"/>
          <w:szCs w:val="28"/>
        </w:rPr>
        <w:t xml:space="preserve">15. Survival</w:t>
      </w:r>
    </w:p>
    <w:p>
      <w:pPr>
        <w:keepNext/>
        <w:spacing w:before="200" w:after="80"/>
      </w:pPr>
      <w:r>
        <w:rPr>
          <w:rFonts w:ascii="Segoe UI Symbol" w:hAnsi="Segoe UI Symbol"/>
        </w:rPr>
        <w:t xml:space="preserve">☐  </w:t>
      </w:r>
      <w:r>
        <w:rPr>
          <w:b/>
        </w:rPr>
        <w:t xml:space="preserve">15.1  </w:t>
      </w:r>
      <w:r>
        <w:rPr>
          <w:b/>
        </w:rPr>
        <w:t xml:space="preserve">Survival after the agreement ends</w:t>
      </w:r>
      <w:r>
        <w:t xml:space="preserve"> — Recommended (SHOULD)</w:t>
      </w:r>
    </w:p>
    <w:p>
      <w:pPr>
        <w:spacing w:before="0" w:after="120"/>
        <w:ind w:left="540"/>
      </w:pPr>
      <w:r>
        <w:t xml:space="preserve">Each covenant should expire on its own definite schedule and read on its own. Self-contained survival language is what lets a sound non-solicit outlive a failed non-compete — and in a state whose courts increasingly decline to repair the failed clause, that separateness is the difference between losing one covenant and losing the package.</w:t>
      </w:r>
    </w:p>
    <w:p>
      <w:pPr>
        <w:keepNext/>
        <w:spacing w:before="360" w:after="160"/>
      </w:pPr>
      <w:r>
        <w:rPr>
          <w:b/>
          <w:sz w:val="28"/>
          <w:szCs w:val="28"/>
        </w:rPr>
        <w:t xml:space="preserve">16. Assignment and successors</w:t>
      </w:r>
    </w:p>
    <w:p>
      <w:pPr>
        <w:keepNext/>
        <w:spacing w:before="200" w:after="80"/>
      </w:pPr>
      <w:r>
        <w:rPr>
          <w:rFonts w:ascii="Segoe UI Symbol" w:hAnsi="Segoe UI Symbol"/>
        </w:rPr>
        <w:t xml:space="preserve">☐  </w:t>
      </w:r>
      <w:r>
        <w:rPr>
          <w:b/>
        </w:rPr>
        <w:t xml:space="preserve">16.1  </w:t>
      </w:r>
      <w:r>
        <w:rPr>
          <w:b/>
        </w:rPr>
        <w:t xml:space="preserve">Assignment and successors</w:t>
      </w:r>
      <w:r>
        <w:t xml:space="preserve"> — Recommended (SHOULD)</w:t>
      </w:r>
    </w:p>
    <w:p>
      <w:pPr>
        <w:spacing w:before="0" w:after="120"/>
        <w:ind w:left="540"/>
      </w:pPr>
      <w:r>
        <w:t xml:space="preserve">Confirm the employer can assign to successors and the worker cannot. Whoever inherits the covenant inherits its posture with it — the same reasonableness review, the same equities, the same reluctance to narrow — and a successor whose business looks nothing like the goodwill the covenant was written to protect inherits a harder case, not a better one.</w:t>
      </w:r>
    </w:p>
    <w:p>
      <w:pPr>
        <w:keepNext/>
        <w:spacing w:before="360" w:after="160"/>
      </w:pPr>
      <w:r>
        <w:rPr>
          <w:b/>
          <w:sz w:val="28"/>
          <w:szCs w:val="28"/>
        </w:rPr>
        <w:t xml:space="preserve">17. Governing law, venue, dispute process</w:t>
      </w:r>
    </w:p>
    <w:p>
      <w:pPr>
        <w:keepNext/>
        <w:spacing w:before="200" w:after="80"/>
      </w:pPr>
      <w:r>
        <w:rPr>
          <w:rFonts w:ascii="Segoe UI Symbol" w:hAnsi="Segoe UI Symbol"/>
        </w:rPr>
        <w:t xml:space="preserve">☐  </w:t>
      </w:r>
      <w:r>
        <w:rPr>
          <w:b/>
        </w:rPr>
        <w:t xml:space="preserve">17.1  </w:t>
      </w:r>
      <w:r>
        <w:rPr>
          <w:b/>
        </w:rPr>
        <w:t xml:space="preserve">Delaware choice of law, and where it stops</w:t>
      </w:r>
      <w:r>
        <w:t xml:space="preserve"> — Avoid (SHOULD NOT)</w:t>
      </w:r>
    </w:p>
    <w:p>
      <w:pPr>
        <w:spacing w:before="0" w:after="120"/>
        <w:ind w:left="540"/>
      </w:pPr>
      <w:r>
        <w:t xml:space="preserve">Do not treat a Delaware choice-of-law clause as a universal workaround for another state's non-compete rules. The statutory anchor is real — a written Delaware selection in a qualifying contract is conclusively presumed a significant, material and reasonable relationship with the State, though contracts involving less than $100,000 are excluded — but Delaware's own courts police the limit: Chancery has refused to let Delaware's freedom-of-contract policy routinely trump the default state's public policy, and has applied another state's law over a Delaware clause where that state had the stronger interest. Name the governing law, venue, and dispute process expressly; for an out-of-state worker, analyze the default state, its fundamental policy, and which state has the materially greater interest before relying on the clause. </w:t>
      </w:r>
    </w:p>
    <w:p>
      <w:pPr>
        <w:keepNext/>
        <w:spacing w:before="360" w:after="160"/>
      </w:pPr>
      <w:r>
        <w:rPr>
          <w:b/>
          <w:sz w:val="28"/>
          <w:szCs w:val="28"/>
        </w:rPr>
        <w:t xml:space="preserve">18. Entire agreement, amendment, waiver, e-signatures</w:t>
      </w:r>
    </w:p>
    <w:p>
      <w:pPr>
        <w:keepNext/>
        <w:spacing w:before="200" w:after="80"/>
      </w:pPr>
      <w:r>
        <w:rPr>
          <w:rFonts w:ascii="Segoe UI Symbol" w:hAnsi="Segoe UI Symbol"/>
        </w:rPr>
        <w:t xml:space="preserve">☐  </w:t>
      </w:r>
      <w:r>
        <w:rPr>
          <w:b/>
        </w:rPr>
        <w:t xml:space="preserve">18.1  </w:t>
      </w:r>
      <w:r>
        <w:rPr>
          <w:b/>
        </w:rPr>
        <w:t xml:space="preserve">Entire agreement, amendments, e-signatures</w:t>
      </w:r>
      <w:r>
        <w:t xml:space="preserve"> — Recommended (SHOULD)</w:t>
      </w:r>
    </w:p>
    <w:p>
      <w:pPr>
        <w:spacing w:before="0" w:after="120"/>
        <w:ind w:left="540"/>
      </w:pPr>
      <w:r>
        <w:t xml:space="preserve">Standard boilerplate with one local wrinkle: because Delaware fixes the consideration question at the moment each instrument is formed, an amendment that re-papers a covenant is its own formation event. Keep the amendment mechanics clean and leave a record of what value moved at each signing, so the formation-time story is documented rather than reconstructed in litigation.</w:t>
      </w:r>
    </w:p>
    <w:p>
      <w:pPr>
        <w:keepNext/>
        <w:spacing w:before="360" w:after="160"/>
      </w:pPr>
      <w:r>
        <w:rPr>
          <w:b/>
          <w:sz w:val="28"/>
          <w:szCs w:val="28"/>
        </w:rPr>
        <w:t xml:space="preserve">19. Delaware enforceability gates</w:t>
      </w:r>
    </w:p>
    <w:p>
      <w:pPr>
        <w:spacing w:before="0" w:after="120"/>
      </w:pPr>
      <w:r>
        <w:t xml:space="preserve">The five items below exist only on this Delaware page: they implement the Court of Chancery's reasonableness review, the physician practice-covenant voiding, the home-inspector trainee rule, the acquired-goodwill bound on sale-of-business covenants, and the line between a true restraint on work and a forfeiture condition on a deferred benefit — the rules that decide enforceability before any individual clause is worth polishing.</w:t>
      </w:r>
    </w:p>
    <w:p>
      <w:pPr>
        <w:keepNext/>
        <w:spacing w:before="200" w:after="80"/>
      </w:pPr>
      <w:r>
        <w:rPr>
          <w:rFonts w:ascii="Segoe UI Symbol" w:hAnsi="Segoe UI Symbol"/>
        </w:rPr>
        <w:t xml:space="preserve">☐  </w:t>
      </w:r>
      <w:r>
        <w:rPr>
          <w:b/>
        </w:rPr>
        <w:t xml:space="preserve">19.1  </w:t>
      </w:r>
      <w:r>
        <w:rPr>
          <w:b/>
        </w:rPr>
        <w:t xml:space="preserve">The full reasonableness review satisfied</w:t>
      </w:r>
      <w:r>
        <w:t xml:space="preserve"> — Required (MUST)</w:t>
      </w:r>
    </w:p>
    <w:p>
      <w:pPr>
        <w:spacing w:before="0" w:after="120"/>
        <w:ind w:left="540"/>
      </w:pPr>
      <w:r>
        <w:t xml:space="preserve">Run every restraint through the Delaware test: reasonable in geographic scope and temporal duration, advancing a legitimate economic interest of the party enforcing it, and surviving a balancing of the equities. The review is holistic — every dimension of the covenant, weighed together with the contract's other restrictions — and the recognized interests are employer goodwill and confidential information, established on this employer's actual facts. A Delaware choice-of-law clause, executive status, or an equity grant does not substitute for the inquiry, and no wage threshold or notice statute stands in for it either. </w:t>
      </w:r>
    </w:p>
    <w:p>
      <w:pPr>
        <w:keepNext/>
        <w:spacing w:before="200" w:after="80"/>
      </w:pPr>
      <w:r>
        <w:rPr>
          <w:rFonts w:ascii="Segoe UI Symbol" w:hAnsi="Segoe UI Symbol"/>
        </w:rPr>
        <w:t xml:space="preserve">☐  </w:t>
      </w:r>
      <w:r>
        <w:rPr>
          <w:b/>
        </w:rPr>
        <w:t xml:space="preserve">19.2  </w:t>
      </w:r>
      <w:r>
        <w:rPr>
          <w:b/>
        </w:rPr>
        <w:t xml:space="preserve">No practice restraints on physicians</w:t>
      </w:r>
      <w:r>
        <w:t xml:space="preserve"> — Prohibited (MUST NOT)</w:t>
      </w:r>
    </w:p>
    <w:p>
      <w:pPr>
        <w:spacing w:before="0" w:after="120"/>
        <w:ind w:left="540"/>
      </w:pPr>
      <w:r>
        <w:t xml:space="preserve">A covenant in an employment, partnership, or corporate agreement between or among physicians that restricts a physician's right to practice medicine in a particular locale or for a defined period after termination is void by statute. The statute is targeted, not total: all other provisions remain enforceable, including damages provisions in an amount reasonably related to the injury from termination — and those damages may include damages related to competition. Strike any practice restraint; keep any damages clause separate from it and tied to actual injury. </w:t>
      </w:r>
    </w:p>
    <w:p>
      <w:pPr>
        <w:keepNext/>
        <w:spacing w:before="200" w:after="80"/>
      </w:pPr>
      <w:r>
        <w:rPr>
          <w:rFonts w:ascii="Segoe UI Symbol" w:hAnsi="Segoe UI Symbol"/>
        </w:rPr>
        <w:t xml:space="preserve">☐  </w:t>
      </w:r>
      <w:r>
        <w:rPr>
          <w:b/>
        </w:rPr>
        <w:t xml:space="preserve">19.3  </w:t>
      </w:r>
      <w:r>
        <w:rPr>
          <w:b/>
        </w:rPr>
        <w:t xml:space="preserve">No non-compete forced on a home inspector trainee</w:t>
      </w:r>
      <w:r>
        <w:t xml:space="preserve"> — Prohibited (MUST NOT)</w:t>
      </w:r>
    </w:p>
    <w:p>
      <w:pPr>
        <w:spacing w:before="0" w:after="120"/>
        <w:ind w:left="540"/>
      </w:pPr>
      <w:r>
        <w:t xml:space="preserve">A registered home inspector trainee cannot be required to execute a covenant not to compete with a supervising licensed home inspector — or to pay the supervisor any fee or other thing of value — as a condition of satisfying the trainee requirements. This is a narrow licensing rule, not a general employee statute, so apply it in profession-specific review: inspection businesses, trainee-supervision arrangements, and any agreement papering that relationship. </w:t>
      </w:r>
    </w:p>
    <w:p>
      <w:pPr>
        <w:keepNext/>
        <w:spacing w:before="200" w:after="80"/>
      </w:pPr>
      <w:r>
        <w:rPr>
          <w:rFonts w:ascii="Segoe UI Symbol" w:hAnsi="Segoe UI Symbol"/>
        </w:rPr>
        <w:t xml:space="preserve">☐  </w:t>
      </w:r>
      <w:r>
        <w:rPr>
          <w:b/>
        </w:rPr>
        <w:t xml:space="preserve">19.4  </w:t>
      </w:r>
      <w:r>
        <w:rPr>
          <w:b/>
        </w:rPr>
        <w:t xml:space="preserve">Sale covenants matched to what was bought</w:t>
      </w:r>
      <w:r>
        <w:t xml:space="preserve"> — Recommended (SHOULD)</w:t>
      </w:r>
    </w:p>
    <w:p>
      <w:pPr>
        <w:spacing w:before="0" w:after="120"/>
        <w:ind w:left="540"/>
      </w:pPr>
      <w:r>
        <w:t xml:space="preserve">When the covenant rides a business sale, Delaware reviews it less searchingly than an employment covenant — but the restraint still has to match what the buyer actually bought. The cautionary case refused preliminary enforcement where the covenant protected the buyer's unrelated segments and affiliates beyond the goodwill and information acquired; the enforceable case paired substantial merger consideration with a restricted area matching the seller's real operational reach. Define the restricted business by the acquired business, and treat buyer-family affiliate language as overreach unless the record supports it. </w:t>
      </w:r>
    </w:p>
    <w:p>
      <w:pPr>
        <w:keepNext/>
        <w:spacing w:before="200" w:after="80"/>
      </w:pPr>
      <w:r>
        <w:rPr>
          <w:rFonts w:ascii="Segoe UI Symbol" w:hAnsi="Segoe UI Symbol"/>
        </w:rPr>
        <w:t xml:space="preserve">☐  </w:t>
      </w:r>
      <w:r>
        <w:rPr>
          <w:b/>
        </w:rPr>
        <w:t xml:space="preserve">19.5  </w:t>
      </w:r>
      <w:r>
        <w:rPr>
          <w:b/>
        </w:rPr>
        <w:t xml:space="preserve">Forfeiture conditions kept distinct from work bans</w:t>
      </w:r>
      <w:r>
        <w:t xml:space="preserve"> — Avoid (SHOULD NOT)</w:t>
      </w:r>
    </w:p>
    <w:p>
      <w:pPr>
        <w:spacing w:before="0" w:after="120"/>
        <w:ind w:left="540"/>
      </w:pPr>
      <w:r>
        <w:t xml:space="preserve">Do not let a label decide the review. A genuine forfeiture-for-competition provision conditions a deferred benefit — partnership distributions, equity awards — on staying out of competition: the worker remains free to compete at the price of the benefit, and Delaware reviews that condition under the employee-choice doctrine rather than as a restraint of trade, in corporate equity plans as much as limited partnerships. But the doctrine runs only one way. A clause that directly bars work is a true non-compete however it is captioned, and it keeps the full reasonableness review this page is built around — so classify each competition-linked provision by its effect before deciding which gate it must clear. </w:t>
      </w:r>
    </w:p>
    <w:p>
      <w:pPr>
        <w:spacing w:before="360" w:after="0"/>
      </w:pPr>
      <w:r>
        <w:rPr>
          <w:color w:val="666666"/>
          <w:sz w:val="16"/>
          <w:szCs w:val="16"/>
        </w:rPr>
        <w:t xml:space="preserve">Steven Obiajulu, J.D. edits this review checklist for Delaware (US) coverage. It synthesizes legal sources and is not legal advice. This article is for informational purposes only and does not create an attorney-client relationship.</w:t>
      </w:r>
    </w:p>
    <w:sectPr>
      <w:pgSz w:w="12240" w:h="15840"/>
      <w:pgMar w:top="1440" w:right="1440" w:bottom="1440" w:left="1440"/>
    </w:sectPr>
  </w:body>
</w:document>
</file>

<file path=word/styles.xml><?xml version="1.0" encoding="utf-8"?>
<w:styles xmlns:w="http://schemas.openxmlformats.org/wordprocessingml/2006/main">
  <w:docDefaults>
    <w:rPrDefault>
      <w:rPr>
        <w:rFonts w:ascii="Calibri" w:hAnsi="Calibri"/>
        <w:sz w:val="22"/>
        <w:szCs w:val="22"/>
      </w:rPr>
    </w:rPrDefault>
    <w:pPrDefault>
      <w:pPr>
        <w:spacing w:after="120" w:line="276" w:lineRule="auto"/>
      </w:pPr>
    </w:pPrDefault>
  </w:docDefaults>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