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Florida</w:t>
      </w:r>
    </w:p>
    <w:p>
      <w:pPr>
        <w:spacing w:before="0" w:after="120"/>
      </w:pPr>
      <w:r>
        <w:rPr>
          <w:i/>
          <w:color w:val="444444"/>
        </w:rPr>
        <w:t xml:space="preserve">A clause-by-clause reviewer checklist for Florida employee restrictive covenant agreements — confidentiality, non-solicits, non-competes, and non-disparagement under Fla. Stat. § 542.335 and the 2025 CHOICE Act.</w:t>
      </w:r>
    </w:p>
    <w:p>
      <w:pPr>
        <w:spacing w:before="0" w:after="240"/>
      </w:pPr>
      <w:r>
        <w:rPr>
          <w:color w:val="666666"/>
          <w:sz w:val="18"/>
          <w:szCs w:val="18"/>
        </w:rPr>
        <w:t xml:space="preserve">By Steven Obiajulu, J.D. Last reviewed 2026-06-11. License: CC BY 4.0. https://openagreements.org/checklists/non-compete/us/florida</w:t>
      </w:r>
    </w:p>
    <w:p>
      <w:pPr>
        <w:keepNext/>
        <w:spacing w:before="360" w:after="160"/>
      </w:pPr>
      <w:r>
        <w:rPr>
          <w:b/>
          <w:sz w:val="28"/>
          <w:szCs w:val="28"/>
        </w:rPr>
        <w:t xml:space="preserve">1. Parties and cover-term identification</w:t>
      </w:r>
    </w:p>
    <w:p>
      <w:pPr>
        <w:spacing w:before="0" w:after="120"/>
      </w:pPr>
      <w:r>
        <w:t xml:space="preserve">This checklist reads a restrictive covenant agreement against Florida's statutory framework — the enforcer-friendly § 542.335 standard plus the 2025 CHOICE Act's covered-employee track. For the underlying statute, case law, and analysis behind each item, see the </w:t>
      </w:r>
      <w:r>
        <w:t xml:space="preserve">Florida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the entity that actually employs the worker in the cover terms. Florida permits a third party, assignee, or successor to enforce only when the contract says so expressly, so an agreement papered to the wrong affiliate can leave the real operating company with nothing to enforce.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Florida's modern framework governs covenants entered into on or after July 1, 1996, and agreements signed from July 1, 2025 can also qualify for the CHOICE Act's covered-employee track — both thresholds run from the execution date this term records.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Capture the role and its compensation context. CHOICE Act coverage turns on salary measured against the county annual mean wage — and a health care practitioner is excluded no matter the pay — so the title block is where covered-employee review starts.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governing-law selection, then remember its limits in both directions: the CHOICE Act claims a covered employee whose primary place of work is Florida regardless of any choice-of-law clause, while sister states can refuse to apply Florida law on public-policy grounds.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confidential information with boundaries that track Florida's protectable categories. Valuable confidential business or professional information short of trade-secret status is itself a legitimate business interest under the statute — but only information that genuinely qualifies, so the definition should exclude what is public or generally known.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separately defined. In Florida they are protected by FUTSA for as long as secrecy lasts, they sit first on the legitimate-business-interest list, and a covenant genuinely predicated on them earns the widest duration presumption — none of which works if they are blended into general confidentiality.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Run every covenant off one defined Restricted Period so each duration can be checked once against the statutory presumption row for its covenant type, rather than re-derived clause by clause.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Florida tests restraints for reasonableness in time, area, and line of business, with the enforcing party bearing the burden of showing reasonable necessity. A territory tied to where the worker actually operated is the easy version of that showing; an undefined one hands the court something to modify.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by substantial relationships with specific customers — the statutory phrase — rather than the employer's entire book. Florida's interest list is open-ended (referral sources can qualify on the right proof), but the relationship must be specific and provable, and the definition is where that specificity starts.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A bounded class of colleagues the worker dealt with or supervised during a stated look-back. Florida enforces no-hire clauses under the same statutory framework as every other covenant, so a definition sweeping in the whole workforce simply invites the court to cut it down.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In Florida this definition is the whole ballgame: the enforcing party must plead and prove a legitimate business interest, and a covenant supported by none is void. The contractual recital should mirror interests the employer can actually evidence, not recite the statutory list wholesale.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restrained line of business concretely. The statute measures reasonableness by line of business, and while a Florida court will modify an overbroad definition rather than strike the covenant, what survives modification is only what the proven interest requires — so draft to that scope from the start.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Even with Florida's pro-enforcement canons, a clause banning ordinary public-market holdings exceeds any legitimate interest and just gives the court a restraint to trim.</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capitalized term; many forms inline the threshold instead. If it appears, confirm the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Spell out whether accepting unsolicited business counts as solicitation. Florida case law has refused to enforce a valid non-solicit where the customers came to the former employees unprompted, so this definition decides who wins the who-called-whom fight.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Restricted Period trigger indifferent to how employment ends — resignation, dismissal, or expiration of a term. Florida's duration presumptions are counted from the end of the relationship, and an ambiguous trigger muddies that arithmetic.</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Florida is forgiving on timing — continued at-will employment is sufficient consideration, and courts have enforced covenants signed long after the hire date — but the acknowledgement still fixes the execution date that CHOICE Act notice compliance and the 1996 statutory threshold are measured against.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On the ordinary § 542.335 track this is good hygiene; on the CHOICE Act track it is a statutory condition — the covered employee must be advised in writing of the right to seek counsel before signing. Flag its absence in any high-earner agreement.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No end date on trade-secret obligations: protection lasts as long as secrecy under federal law and FUTSA alike, and a fixed term needlessly surrenders it. The perpetual obligation also underpins any later claim to the trade-secret duration presumption.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Ordinary confidential information gets its own finite term. The two-track structure also maps onto Florida's duration scheme, where only a covenant genuinely predicated on trade secrets earns the five-to-ten-year presumption window.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A federal requirement that applies in Florida like everywhere else: omit the whistleblower-immunity notice and the employer forfeits exemplary damages and attorney fees in a later DTSA suit against the worker.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terms must leave wage and working-condition discussion alone. Section 7 protects that speech in every state — Florida's covenant-friendly statute does not change federal labor law — and the Board has been striking overbroad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Check the carve-out for disclosure required by law, court order, or a government inquiry, with notice to the employer where lawful — the standard cure for the contract-versus-subpoena bind.</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plus a written certification of compliance. In Florida the certification becomes a clean exhibit in the injunction practice the statute is built around — concrete proof of what was returned and when, if information later surfaces somewhere it should not.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comfortably enforceable in Florida under the same statutory framework as everything else. The cases enforce no-hire clauses scoped to real working relationships — and trim overlong terms down to the presumption window rather than voiding them.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included, confirm it tracks Covered Customers and the Restricted Period. Validity is only half the battle in Florida: enforcement can still fail where the customer initiated the contact, which is why this clause and the Solicit definition have to be reviewed together.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Broader than a non-solicit — it bars the business even when the customer calls first. Florida analyzes it under the same legitimate-interest and reasonableness framework rather than a separate hostility rule, but the broader reach calls for a correspondingly strong interest showing.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Florida will enforce a true non-compete when the employer pleads and proves a legitimate interest and reasonable necessity — a friendlier baseline than most states. The review question is therefore fit, not survival: bounded territory, a defined competitive business, and a duration inside the presumption window for the relationship.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Where the employer can name its real competitors, restrict those. A Florida court faced with overbreadth modifies the restraint down to what is reasonably necessary — so a covenant tailored at signing is the one that gets enforced as written instead of rewritten on the bench.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A deliberate inclusion, not a default. Verify the passive-holdings carve-out and the shared Restricted Period — an investment ban is still a restrictive covenant in Florida and needs its own legitimate-interest justification.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check the carve-outs: truthful testimony, statements to government agencies, and protected concerted activity must stay outside its reach. Federal labor law polices overbroad versions regardless of how covenant-friendly Florida's own statute is.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carry Florida's two physician rules: the § 542.336 specialty-monopoly void, which strikes a specialist's covenant in any county where one entity employs all the physicians in that specialty, and the CHOICE Act's categorical exclusion of health care practitioners from covered-employee status.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standard representation that no prior covenant or order blocks the new role. Florida's enforcement-friendly climate makes inbound conflicts likelier to be litigated, so surfacing a prior employer's covenant before day one matters more here, not less.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included, tie disclosure to a reasonable belief of breach: a notice letter that overstates a covenant's reach can create interference exposure even in a state as enforcement-friendly as Florida.</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Florida's statute is silent on tolling — it neither grants nor forbids extending the period for time spent in breach — so the contract must say it expressly, and the employer should be prepared to defend the extension as equitable relief rather than assume state law supplies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Include the irreparable-harm acknowledgement, then note that Florida does part of the work by statute: a violation of an enforceable covenant is presumed irreparable, and a temporary injunction requires a proper bond the parties cannot contract away.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Florida courts can award prevailing-party fees in covenant litigation even without a contractual fee clause — and the statute makes provisions limiting that authority unenforceable — so review the fee clause for consistency with the statute rather than treating it as the only source of fee exposure.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Disclaimer of judicial modification</w:t>
      </w:r>
      <w:r>
        <w:t xml:space="preserve"> — Prohibited (MUST NOT)</w:t>
      </w:r>
    </w:p>
    <w:p>
      <w:pPr>
        <w:spacing w:before="0" w:after="120"/>
        <w:ind w:left="540"/>
      </w:pPr>
      <w:r>
        <w:t xml:space="preserve">Florida inverts the no-reformation stance some states require: judicial modification of an overbroad restraint is mandatory — the court shall modify and grant only the relief reasonably necessary — so the agreement must not disclaim, waive, or contract around narrowing. A void-if-overbroad savings clause of the kind Wyoming demands is affirmatively wrong in Florida; the correct drafting is modification-friendly savings language that acknowledges the court's narrowing authority.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State survival per covenant. Each Florida covenant type carries its own presumption window — six months to two years for employees, out to ten years for trade-secret-predicated restraints — and per-covenant expiration is what lets a reviewer line each duration up against the right statutory row.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In Florida, silence here is fatal to successor enforcement: an assignee or successor may enforce only where the covenant expressly authorized it. Confirm express employer-side assignability — acquisitions, reorganizations, and PEO arrangements trip this constantly — and that the worker cannot assign.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Align governing law, venue, and dispute process. A Florida clause is strong at home but travels poorly into employee-protective states — New York's highest court refused to apply Florida law to a customer non-solicit on public-policy grounds — so treat the selection as risk management, not a guarantee.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Confirm the merger clause, written-amendment and no-waiver mechanics, and e-signature validity. On the CHOICE Act track the paper record matters doubly: enforceability rides on documented written advisals and acknowledgements, so the formalities clause is part of the compliance story.</w:t>
      </w:r>
    </w:p>
    <w:p>
      <w:pPr>
        <w:keepNext/>
        <w:spacing w:before="360" w:after="160"/>
      </w:pPr>
      <w:r>
        <w:rPr>
          <w:b/>
          <w:sz w:val="28"/>
          <w:szCs w:val="28"/>
        </w:rPr>
        <w:t xml:space="preserve">19. Florida statutory drafting points (Fla. Stat. § 542.335)</w:t>
      </w:r>
    </w:p>
    <w:p>
      <w:pPr>
        <w:spacing w:before="0" w:after="120"/>
      </w:pPr>
      <w:r>
        <w:t xml:space="preserve">The five items below exist only on this Florida page: they implement the drafting levers § 542.335 itself hands the parties — the interest recital, the presumption windows, express assignee enforcement, the physician carve-out, and the irreparable-injury presumption.</w:t>
      </w:r>
    </w:p>
    <w:p>
      <w:pPr>
        <w:keepNext/>
        <w:spacing w:before="200" w:after="80"/>
      </w:pPr>
      <w:r>
        <w:rPr>
          <w:rFonts w:ascii="Segoe UI Symbol" w:hAnsi="Segoe UI Symbol"/>
        </w:rPr>
        <w:t xml:space="preserve">☐  </w:t>
      </w:r>
      <w:r>
        <w:rPr>
          <w:b/>
        </w:rPr>
        <w:t xml:space="preserve">19.1  </w:t>
      </w:r>
      <w:r>
        <w:rPr>
          <w:b/>
        </w:rPr>
        <w:t xml:space="preserve">Legitimate business interest recited</w:t>
      </w:r>
      <w:r>
        <w:t xml:space="preserve"> — Recommended (SHOULD)</w:t>
      </w:r>
    </w:p>
    <w:p>
      <w:pPr>
        <w:spacing w:before="0" w:after="120"/>
        <w:ind w:left="540"/>
      </w:pPr>
      <w:r>
        <w:t xml:space="preserve">The recitals should name at least one statutory interest the covenants protect — trade secrets, valuable confidential information, substantial relationships with specific customers, goodwill, or extraordinary or specialized training. The enforcer must plead and prove the interest, and a covenant supported by none is void, so naming it up front frames the case the employer will one day have to make. </w:t>
      </w:r>
    </w:p>
    <w:p>
      <w:pPr>
        <w:keepNext/>
        <w:spacing w:before="200" w:after="80"/>
      </w:pPr>
      <w:r>
        <w:rPr>
          <w:rFonts w:ascii="Segoe UI Symbol" w:hAnsi="Segoe UI Symbol"/>
        </w:rPr>
        <w:t xml:space="preserve">☐  </w:t>
      </w:r>
      <w:r>
        <w:rPr>
          <w:b/>
        </w:rPr>
        <w:t xml:space="preserve">19.2  </w:t>
      </w:r>
      <w:r>
        <w:rPr>
          <w:b/>
        </w:rPr>
        <w:t xml:space="preserve">Duration in the presumed-unreasonable zone</w:t>
      </w:r>
      <w:r>
        <w:t xml:space="preserve"> — Avoid (SHOULD NOT)</w:t>
      </w:r>
    </w:p>
    <w:p>
      <w:pPr>
        <w:spacing w:before="0" w:after="120"/>
        <w:ind w:left="540"/>
      </w:pPr>
      <w:r>
        <w:t xml:space="preserve">Check each duration against the presumption row for its relationship: six months presumed reasonable and over two years presumed unreasonable for a former employee, one and three years for distributors and franchisees, three and seven for the sale of a business, five and ten where the covenant protects trade secrets. A term above the ceiling does not void the covenant — Florida modifies — but it flips the burden onto the enforcer and invites the court to shorten it, so a draft should not start in the presumed-unreasonable zone. </w:t>
      </w:r>
    </w:p>
    <w:p>
      <w:pPr>
        <w:keepNext/>
        <w:spacing w:before="200" w:after="80"/>
      </w:pPr>
      <w:r>
        <w:rPr>
          <w:rFonts w:ascii="Segoe UI Symbol" w:hAnsi="Segoe UI Symbol"/>
        </w:rPr>
        <w:t xml:space="preserve">☐  </w:t>
      </w:r>
      <w:r>
        <w:rPr>
          <w:b/>
        </w:rPr>
        <w:t xml:space="preserve">19.3  </w:t>
      </w:r>
      <w:r>
        <w:rPr>
          <w:b/>
        </w:rPr>
        <w:t xml:space="preserve">Assignee and beneficiary enforcement authorized</w:t>
      </w:r>
      <w:r>
        <w:t xml:space="preserve"> — Recommended (SHOULD)</w:t>
      </w:r>
    </w:p>
    <w:p>
      <w:pPr>
        <w:spacing w:before="0" w:after="120"/>
        <w:ind w:left="540"/>
      </w:pPr>
      <w:r>
        <w:t xml:space="preserve">Express enforcement language for assignees, successors, and any intended third-party beneficiary — identified, with the benefit stated. This is the statute's quiet trap: buyers in an acquisition, restructured affiliates, and PEO arrangements all need the language, and none of it can be implied after the fact. The clause should be present by default, not reserved for deals the parties happen to foresee. </w:t>
      </w:r>
    </w:p>
    <w:p>
      <w:pPr>
        <w:keepNext/>
        <w:spacing w:before="200" w:after="80"/>
      </w:pPr>
      <w:r>
        <w:rPr>
          <w:rFonts w:ascii="Segoe UI Symbol" w:hAnsi="Segoe UI Symbol"/>
        </w:rPr>
        <w:t xml:space="preserve">☐  </w:t>
      </w:r>
      <w:r>
        <w:rPr>
          <w:b/>
        </w:rPr>
        <w:t xml:space="preserve">19.4  </w:t>
      </w:r>
      <w:r>
        <w:rPr>
          <w:b/>
        </w:rPr>
        <w:t xml:space="preserve">Specialty-monopoly physician carve-out</w:t>
      </w:r>
      <w:r>
        <w:t xml:space="preserve"> — Prohibited (MUST NOT)</w:t>
      </w:r>
    </w:p>
    <w:p>
      <w:pPr>
        <w:spacing w:before="0" w:after="120"/>
        <w:ind w:left="540"/>
      </w:pPr>
      <w:r>
        <w:t xml:space="preserve">Where the worker is a physician, do not rely on an unconditional non-compete. Section 542.336 voids the covenant in any county where one entity employs or contracts with all the physicians practicing that specialty — and keeps it void for three years after a second entity arrives. Because the county-market facts cannot be known reliably at signing, the clause should carry a self-executing carve-out rather than bet the covenant on severance. </w:t>
      </w:r>
    </w:p>
    <w:p>
      <w:pPr>
        <w:keepNext/>
        <w:spacing w:before="200" w:after="80"/>
      </w:pPr>
      <w:r>
        <w:rPr>
          <w:rFonts w:ascii="Segoe UI Symbol" w:hAnsi="Segoe UI Symbol"/>
        </w:rPr>
        <w:t xml:space="preserve">☐  </w:t>
      </w:r>
      <w:r>
        <w:rPr>
          <w:b/>
        </w:rPr>
        <w:t xml:space="preserve">19.5  </w:t>
      </w:r>
      <w:r>
        <w:rPr>
          <w:b/>
        </w:rPr>
        <w:t xml:space="preserve">Irreparable-injury presumption recited</w:t>
      </w:r>
      <w:r>
        <w:t xml:space="preserve"> — Recommended (SHOULD)</w:t>
      </w:r>
    </w:p>
    <w:p>
      <w:pPr>
        <w:spacing w:before="0" w:after="120"/>
        <w:ind w:left="540"/>
      </w:pPr>
      <w:r>
        <w:t xml:space="preserve">Recite the statutory presumption: violation of an enforceable covenant is presumed to cause irreparable injury. The presumption arises by operation of law whether or not the agreement mentions it, but the recital aligns the remedies clause with the statute the court will actually apply at the injunction stage. </w:t>
      </w:r>
    </w:p>
    <w:p>
      <w:pPr>
        <w:keepNext/>
        <w:spacing w:before="360" w:after="160"/>
      </w:pPr>
      <w:r>
        <w:rPr>
          <w:b/>
          <w:sz w:val="28"/>
          <w:szCs w:val="28"/>
        </w:rPr>
        <w:t xml:space="preserve">20. CHOICE Act covered-employee track (Fla. Stat. §§ 542.41–542.45)</w:t>
      </w:r>
    </w:p>
    <w:p>
      <w:pPr>
        <w:spacing w:before="0" w:after="120"/>
      </w:pPr>
      <w:r>
        <w:t xml:space="preserve">These three items apply only when the worker is a covered employee — a salary above twice the annual mean wage of the relevant Florida county (the employer's principal-place-of-business county, or the employee's residence county for an out-of-state employer), and not a health care practitioner. The payoff for getting them right is large: on the employer's application a court must preliminarily enjoin a covered employee, dissolvable only on the employee's clear and convincing evidence </w:t>
      </w:r>
      <w:r>
        <w:t xml:space="preserve">. Miss them and the covenant simply falls back to ordinary § 542.335 review.</w:t>
      </w:r>
    </w:p>
    <w:p>
      <w:pPr>
        <w:keepNext/>
        <w:spacing w:before="200" w:after="80"/>
      </w:pPr>
      <w:r>
        <w:rPr>
          <w:rFonts w:ascii="Segoe UI Symbol" w:hAnsi="Segoe UI Symbol"/>
        </w:rPr>
        <w:t xml:space="preserve">☐  </w:t>
      </w:r>
      <w:r>
        <w:rPr>
          <w:b/>
        </w:rPr>
        <w:t xml:space="preserve">20.1  </w:t>
      </w:r>
      <w:r>
        <w:rPr>
          <w:b/>
        </w:rPr>
        <w:t xml:space="preserve">Counsel advisal and 7-day notice</w:t>
      </w:r>
      <w:r>
        <w:t xml:space="preserve"> — Required (MUST)</w:t>
      </w:r>
    </w:p>
    <w:p>
      <w:pPr>
        <w:spacing w:before="0" w:after="120"/>
        <w:ind w:left="540"/>
      </w:pPr>
      <w:r>
        <w:t xml:space="preserve">The agreement must recite that the covered employee was advised in writing of the right to seek counsel, and the employer must put the proposed agreement in the worker's hands at least seven days before the relevant offer expires. The seven-day clock is an operational step to verify against the actual dates, not just a recital to read. </w:t>
      </w:r>
    </w:p>
    <w:p>
      <w:pPr>
        <w:keepNext/>
        <w:spacing w:before="200" w:after="80"/>
      </w:pPr>
      <w:r>
        <w:rPr>
          <w:rFonts w:ascii="Segoe UI Symbol" w:hAnsi="Segoe UI Symbol"/>
        </w:rPr>
        <w:t xml:space="preserve">☐  </w:t>
      </w:r>
      <w:r>
        <w:rPr>
          <w:b/>
        </w:rPr>
        <w:t xml:space="preserve">20.2  </w:t>
      </w:r>
      <w:r>
        <w:rPr>
          <w:b/>
        </w:rPr>
        <w:t xml:space="preserve">Written confidential-information acknowledgement</w:t>
      </w:r>
      <w:r>
        <w:t xml:space="preserve"> — Required (MUST)</w:t>
      </w:r>
    </w:p>
    <w:p>
      <w:pPr>
        <w:spacing w:before="0" w:after="120"/>
        <w:ind w:left="540"/>
      </w:pPr>
      <w:r>
        <w:t xml:space="preserve">Confirm the covered employee's written acknowledgement that the job will involve receiving confidential information or customer relationships. It is the CHOICE Act's sharper cousin of the legitimate-business-interest recital, and a covered-employee agreement should carry both. </w:t>
      </w:r>
    </w:p>
    <w:p>
      <w:pPr>
        <w:keepNext/>
        <w:spacing w:before="200" w:after="80"/>
      </w:pPr>
      <w:r>
        <w:rPr>
          <w:rFonts w:ascii="Segoe UI Symbol" w:hAnsi="Segoe UI Symbol"/>
        </w:rPr>
        <w:t xml:space="preserve">☐  </w:t>
      </w:r>
      <w:r>
        <w:rPr>
          <w:b/>
        </w:rPr>
        <w:t xml:space="preserve">20.3  </w:t>
      </w:r>
      <w:r>
        <w:rPr>
          <w:b/>
        </w:rPr>
        <w:t xml:space="preserve">Garden-leave day-for-day offset</w:t>
      </w:r>
      <w:r>
        <w:t xml:space="preserve"> — Required (MUST)</w:t>
      </w:r>
    </w:p>
    <w:p>
      <w:pPr>
        <w:spacing w:before="0" w:after="120"/>
        <w:ind w:left="540"/>
      </w:pPr>
      <w:r>
        <w:t xml:space="preserve">If garden leave rides alongside the covered non-compete, the agreement must reduce the non-compete period day-for-day by the nonworking portion of the notice period. The offset is the statutory price of the garden-leave structure — the two periods cannot be stacked end to end. </w:t>
      </w:r>
    </w:p>
    <w:p>
      <w:pPr>
        <w:spacing w:before="360" w:after="0"/>
      </w:pPr>
      <w:r>
        <w:rPr>
          <w:color w:val="666666"/>
          <w:sz w:val="16"/>
          <w:szCs w:val="16"/>
        </w:rPr>
        <w:t xml:space="preserve">Steven Obiajulu, J.D. edits this review checklist for Florida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