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0" w:after="120"/>
      </w:pPr>
      <w:r>
        <w:rPr>
          <w:b/>
          <w:sz w:val="48"/>
          <w:szCs w:val="48"/>
        </w:rPr>
        <w:t xml:space="preserve">Non-Compete Agreement Review Checklist — Georgia</w:t>
      </w:r>
    </w:p>
    <w:p>
      <w:pPr>
        <w:spacing w:before="0" w:after="120"/>
      </w:pPr>
      <w:r>
        <w:rPr>
          <w:i/>
          <w:color w:val="444444"/>
        </w:rPr>
        <w:t xml:space="preserve">A clause-by-clause reviewer checklist for Georgia employee restrictive covenant agreements — confidentiality, non-solicits, non-competes, and non-disparagement under the Georgia Restrictive Covenants Act's reasonableness standard, employee-category gate, and durational presumptions.</w:t>
      </w:r>
    </w:p>
    <w:p>
      <w:pPr>
        <w:spacing w:before="0" w:after="240"/>
      </w:pPr>
      <w:r>
        <w:rPr>
          <w:color w:val="666666"/>
          <w:sz w:val="18"/>
          <w:szCs w:val="18"/>
        </w:rPr>
        <w:t xml:space="preserve">By Steven Obiajulu, J.D. Last reviewed 2026-06-11. License: CC BY 4.0. https://openagreements.org/checklists/non-compete/us/georgia</w:t>
      </w:r>
    </w:p>
    <w:p>
      <w:pPr>
        <w:keepNext/>
        <w:spacing w:before="360" w:after="160"/>
      </w:pPr>
      <w:r>
        <w:rPr>
          <w:b/>
          <w:sz w:val="28"/>
          <w:szCs w:val="28"/>
        </w:rPr>
        <w:t xml:space="preserve">1. Parties and cover-term identification</w:t>
      </w:r>
    </w:p>
    <w:p>
      <w:pPr>
        <w:spacing w:before="0" w:after="120"/>
      </w:pPr>
      <w:r>
        <w:t xml:space="preserve">Work through the items below with the Georgia Restrictive Covenants Act in mind: the Act enforces reasonable covenants, but it reserves post-employment non-competes for defined classes of higher-level employees, presumes restraints unreasonable past published time windows, and lets a court narrow an overreaching clause without ever obliging it to. For the question-by-question legal analysis behind these items, see the </w:t>
      </w:r>
      <w:r>
        <w:t xml:space="preserve">Georgia non-compete practice note</w:t>
      </w:r>
      <w:r>
        <w:t xml:space="preserve">.</w:t>
      </w:r>
    </w:p>
    <w:p>
      <w:pPr>
        <w:keepNext/>
        <w:spacing w:before="200" w:after="80"/>
      </w:pPr>
      <w:r>
        <w:rPr>
          <w:rFonts w:ascii="Segoe UI Symbol" w:hAnsi="Segoe UI Symbol"/>
        </w:rPr>
        <w:t xml:space="preserve">☐  </w:t>
      </w:r>
      <w:r>
        <w:rPr>
          <w:b/>
        </w:rPr>
        <w:t xml:space="preserve">1.1  </w:t>
      </w:r>
      <w:r>
        <w:rPr>
          <w:b/>
        </w:rPr>
        <w:t xml:space="preserve">Parties identified by name</w:t>
      </w:r>
      <w:r>
        <w:t xml:space="preserve"> — Recommended (SHOULD)</w:t>
      </w:r>
    </w:p>
    <w:p>
      <w:pPr>
        <w:spacing w:before="0" w:after="120"/>
        <w:ind w:left="540"/>
      </w:pPr>
      <w:r>
        <w:t xml:space="preserve">Verify the named employer is the entity in an Act-covered relationship with the worker. The GRCA applies only between the relationships it lists — employer and employee, franchisor and franchisee, seller and purchaser of a business, and a handful of others — so a covenant papered with the wrong affiliate can end up arguing about whether the Act reaches it at all. </w:t>
      </w:r>
    </w:p>
    <w:p>
      <w:pPr>
        <w:keepNext/>
        <w:spacing w:before="200" w:after="80"/>
      </w:pPr>
      <w:r>
        <w:rPr>
          <w:rFonts w:ascii="Segoe UI Symbol" w:hAnsi="Segoe UI Symbol"/>
        </w:rPr>
        <w:t xml:space="preserve">☐  </w:t>
      </w:r>
      <w:r>
        <w:rPr>
          <w:b/>
        </w:rPr>
        <w:t xml:space="preserve">1.2  </w:t>
      </w:r>
      <w:r>
        <w:rPr>
          <w:b/>
        </w:rPr>
        <w:t xml:space="preserve">Effective date</w:t>
      </w:r>
      <w:r>
        <w:t xml:space="preserve"> — Recommended (SHOULD)</w:t>
      </w:r>
    </w:p>
    <w:p>
      <w:pPr>
        <w:spacing w:before="0" w:after="120"/>
        <w:ind w:left="540"/>
      </w:pPr>
      <w:r>
        <w:t xml:space="preserve">In Georgia the signing date picks the legal regime. The Act governs only contracts entered into on or after May 11, 2011; anything earlier is judged under the state's old covenant-hostile common law, where an overbroad employment non-compete fails outright. An undated covenant leaves that threshold question — and every presumption clock that runs from termination — harder to pin down. </w:t>
      </w:r>
    </w:p>
    <w:p>
      <w:pPr>
        <w:keepNext/>
        <w:spacing w:before="200" w:after="80"/>
      </w:pPr>
      <w:r>
        <w:rPr>
          <w:rFonts w:ascii="Segoe UI Symbol" w:hAnsi="Segoe UI Symbol"/>
        </w:rPr>
        <w:t xml:space="preserve">☐  </w:t>
      </w:r>
      <w:r>
        <w:rPr>
          <w:b/>
        </w:rPr>
        <w:t xml:space="preserve">1.3  </w:t>
      </w:r>
      <w:r>
        <w:rPr>
          <w:b/>
        </w:rPr>
        <w:t xml:space="preserve">Employee title</w:t>
      </w:r>
      <w:r>
        <w:t xml:space="preserve"> — Recommended (SHOULD)</w:t>
      </w:r>
    </w:p>
    <w:p>
      <w:pPr>
        <w:spacing w:before="0" w:after="120"/>
        <w:ind w:left="540"/>
      </w:pPr>
      <w:r>
        <w:t xml:space="preserve">Record the title, then test the actual duties behind it. Georgia gates post-employment non-competes on what the worker really does — customarily soliciting customers, making sales, managing, or serving as a key employee or professional — and a court will look past the label to the function. Title plus a duties recital is the cheapest evidence that the worker belongs in a covered category. </w:t>
      </w:r>
    </w:p>
    <w:p>
      <w:pPr>
        <w:keepNext/>
        <w:spacing w:before="200" w:after="80"/>
      </w:pPr>
      <w:r>
        <w:rPr>
          <w:rFonts w:ascii="Segoe UI Symbol" w:hAnsi="Segoe UI Symbol"/>
        </w:rPr>
        <w:t xml:space="preserve">☐  </w:t>
      </w:r>
      <w:r>
        <w:rPr>
          <w:b/>
        </w:rPr>
        <w:t xml:space="preserve">1.4  </w:t>
      </w:r>
      <w:r>
        <w:rPr>
          <w:b/>
        </w:rPr>
        <w:t xml:space="preserve">Governing law state named</w:t>
      </w:r>
      <w:r>
        <w:t xml:space="preserve"> — Recommended (SHOULD)</w:t>
      </w:r>
    </w:p>
    <w:p>
      <w:pPr>
        <w:spacing w:before="0" w:after="120"/>
        <w:ind w:left="540"/>
      </w:pPr>
      <w:r>
        <w:t xml:space="preserve">Confirm the governing state is stated, and read any selection of another state's law with skepticism. When a covenant is litigated in a Georgia court, Georgia law remains the touchstone for enforceability no matter what the contract says — so the clause sets expectations but cannot opt out of the Act. </w:t>
      </w:r>
    </w:p>
    <w:p>
      <w:pPr>
        <w:keepNext/>
        <w:spacing w:before="360" w:after="160"/>
      </w:pPr>
      <w:r>
        <w:rPr>
          <w:b/>
          <w:sz w:val="28"/>
          <w:szCs w:val="28"/>
        </w:rPr>
        <w:t xml:space="preserve">2. Definitions</w:t>
      </w:r>
    </w:p>
    <w:p>
      <w:pPr>
        <w:keepNext/>
        <w:spacing w:before="200" w:after="80"/>
      </w:pPr>
      <w:r>
        <w:rPr>
          <w:rFonts w:ascii="Segoe UI Symbol" w:hAnsi="Segoe UI Symbol"/>
        </w:rPr>
        <w:t xml:space="preserve">☐  </w:t>
      </w:r>
      <w:r>
        <w:rPr>
          <w:b/>
        </w:rPr>
        <w:t xml:space="preserve">2.1  </w:t>
      </w:r>
      <w:r>
        <w:rPr>
          <w:b/>
        </w:rPr>
        <w:t xml:space="preserve">Confidential information</w:t>
      </w:r>
      <w:r>
        <w:t xml:space="preserve"> — Recommended (SHOULD)</w:t>
      </w:r>
    </w:p>
    <w:p>
      <w:pPr>
        <w:spacing w:before="0" w:after="120"/>
        <w:ind w:left="540"/>
      </w:pPr>
      <w:r>
        <w:t xml:space="preserve">Georgia is generous here, so the definition should earn it: the Act lets a confidentiality obligation run without time or geographic limits for as long as the information stays confidential, and the clause is enforceable against workers who could never be bound by a non-compete. A definition that genuinely describes protectable information keeps that advantage; one that sweeps in everything the worker ever learned invites a court to treat the clause as something else. </w:t>
      </w:r>
    </w:p>
    <w:p>
      <w:pPr>
        <w:keepNext/>
        <w:spacing w:before="200" w:after="80"/>
      </w:pPr>
      <w:r>
        <w:rPr>
          <w:rFonts w:ascii="Segoe UI Symbol" w:hAnsi="Segoe UI Symbol"/>
        </w:rPr>
        <w:t xml:space="preserve">☐  </w:t>
      </w:r>
      <w:r>
        <w:rPr>
          <w:b/>
        </w:rPr>
        <w:t xml:space="preserve">2.2  </w:t>
      </w:r>
      <w:r>
        <w:rPr>
          <w:b/>
        </w:rPr>
        <w:t xml:space="preserve">Trade secrets</w:t>
      </w:r>
      <w:r>
        <w:t xml:space="preserve"> — Recommended (SHOULD)</w:t>
      </w:r>
    </w:p>
    <w:p>
      <w:pPr>
        <w:spacing w:before="0" w:after="120"/>
        <w:ind w:left="540"/>
      </w:pPr>
      <w:r>
        <w:t xml:space="preserve">Keep Trade Secrets defined separately from ordinary Confidential Information. The Act preserves protection for material held as a trade secret for as long as it qualifies, and the separate definition is what lets the agreement give trade secrets that indefinite treatment while handling everything else on its own terms. </w:t>
      </w:r>
    </w:p>
    <w:p>
      <w:pPr>
        <w:keepNext/>
        <w:spacing w:before="200" w:after="80"/>
      </w:pPr>
      <w:r>
        <w:rPr>
          <w:rFonts w:ascii="Segoe UI Symbol" w:hAnsi="Segoe UI Symbol"/>
        </w:rPr>
        <w:t xml:space="preserve">☐  </w:t>
      </w:r>
      <w:r>
        <w:rPr>
          <w:b/>
        </w:rPr>
        <w:t xml:space="preserve">2.3  </w:t>
      </w:r>
      <w:r>
        <w:rPr>
          <w:b/>
        </w:rPr>
        <w:t xml:space="preserve">Restricted period</w:t>
      </w:r>
      <w:r>
        <w:t xml:space="preserve"> — Recommended (SHOULD)</w:t>
      </w:r>
    </w:p>
    <w:p>
      <w:pPr>
        <w:spacing w:before="0" w:after="120"/>
        <w:ind w:left="540"/>
      </w:pPr>
      <w:r>
        <w:t xml:space="preserve">A single defined Restricted Period makes the Georgia time math auditable. For an ordinary employee, two years measured from termination is the dividing line: at or under it the restraint is presumed reasonable in time, over it the presumption flips against the employer. Check that every covenant referencing the period lands on the right side of that line. </w:t>
      </w:r>
    </w:p>
    <w:p>
      <w:pPr>
        <w:keepNext/>
        <w:spacing w:before="200" w:after="80"/>
      </w:pPr>
      <w:r>
        <w:rPr>
          <w:rFonts w:ascii="Segoe UI Symbol" w:hAnsi="Segoe UI Symbol"/>
        </w:rPr>
        <w:t xml:space="preserve">☐  </w:t>
      </w:r>
      <w:r>
        <w:rPr>
          <w:b/>
        </w:rPr>
        <w:t xml:space="preserve">2.4  </w:t>
      </w:r>
      <w:r>
        <w:rPr>
          <w:b/>
        </w:rPr>
        <w:t xml:space="preserve">Restricted territory</w:t>
      </w:r>
      <w:r>
        <w:t xml:space="preserve"> — Optional (MAY)</w:t>
      </w:r>
    </w:p>
    <w:p>
      <w:pPr>
        <w:spacing w:before="0" w:after="120"/>
        <w:ind w:left="540"/>
      </w:pPr>
      <w:r>
        <w:t xml:space="preserve">Do not fail the agreement for a missing territory clause: the Supreme Court of Georgia has held that the Act does not require an express geographic term, so geographic reach is judged for overall reasonableness in context. An express definition still earns its keep — a territory tracking where the employer does business is presumptively reasonable when the total distance is reasonable or the agreement names particular competitors for a limited period — and an extravagant express territory remains exactly as vulnerable as it sounds. </w:t>
      </w:r>
    </w:p>
    <w:p>
      <w:pPr>
        <w:keepNext/>
        <w:spacing w:before="200" w:after="80"/>
      </w:pPr>
      <w:r>
        <w:rPr>
          <w:rFonts w:ascii="Segoe UI Symbol" w:hAnsi="Segoe UI Symbol"/>
        </w:rPr>
        <w:t xml:space="preserve">☐  </w:t>
      </w:r>
      <w:r>
        <w:rPr>
          <w:b/>
        </w:rPr>
        <w:t xml:space="preserve">2.5  </w:t>
      </w:r>
      <w:r>
        <w:rPr>
          <w:b/>
        </w:rPr>
        <w:t xml:space="preserve">Covered customers</w:t>
      </w:r>
      <w:r>
        <w:t xml:space="preserve"> — Recommended (SHOULD)</w:t>
      </w:r>
    </w:p>
    <w:p>
      <w:pPr>
        <w:spacing w:before="0" w:after="120"/>
        <w:ind w:left="540"/>
      </w:pPr>
      <w:r>
        <w:t xml:space="preserve">In Georgia the statute hands you the right definition: material contact. The protected class is customers the employee dealt with, supervised dealings for, learned confidential information about, or earned compensation from in the two years before termination. A Covered Customers definition that mirrors that list fits the statutory shape; one that grabs the employer's whole customer file does not. </w:t>
      </w:r>
    </w:p>
    <w:p>
      <w:pPr>
        <w:keepNext/>
        <w:spacing w:before="200" w:after="80"/>
      </w:pPr>
      <w:r>
        <w:rPr>
          <w:rFonts w:ascii="Segoe UI Symbol" w:hAnsi="Segoe UI Symbol"/>
        </w:rPr>
        <w:t xml:space="preserve">☐  </w:t>
      </w:r>
      <w:r>
        <w:rPr>
          <w:b/>
        </w:rPr>
        <w:t xml:space="preserve">2.6  </w:t>
      </w:r>
      <w:r>
        <w:rPr>
          <w:b/>
        </w:rPr>
        <w:t xml:space="preserve">Covered employees</w:t>
      </w:r>
      <w:r>
        <w:t xml:space="preserve"> — Recommended (SHOULD)</w:t>
      </w:r>
    </w:p>
    <w:p>
      <w:pPr>
        <w:spacing w:before="0" w:after="120"/>
        <w:ind w:left="540"/>
      </w:pPr>
      <w:r>
        <w:t xml:space="preserve">Bound the no-poach class to colleagues the departing worker actually worked with or supervised during a stated look-back window. Georgia courts analyze employee non-recruitment covenants under the Act's reasonableness standard, and a class scoped to real working relationships is far easier to defend than a ban on touching anyone on the payroll.</w:t>
      </w:r>
    </w:p>
    <w:p>
      <w:pPr>
        <w:keepNext/>
        <w:spacing w:before="200" w:after="80"/>
      </w:pPr>
      <w:r>
        <w:rPr>
          <w:rFonts w:ascii="Segoe UI Symbol" w:hAnsi="Segoe UI Symbol"/>
        </w:rPr>
        <w:t xml:space="preserve">☐  </w:t>
      </w:r>
      <w:r>
        <w:rPr>
          <w:b/>
        </w:rPr>
        <w:t xml:space="preserve">2.7  </w:t>
      </w:r>
      <w:r>
        <w:rPr>
          <w:b/>
        </w:rPr>
        <w:t xml:space="preserve">Protected business interests</w:t>
      </w:r>
      <w:r>
        <w:t xml:space="preserve"> — Recommended (SHOULD)</w:t>
      </w:r>
    </w:p>
    <w:p>
      <w:pPr>
        <w:spacing w:before="0" w:after="120"/>
        <w:ind w:left="540"/>
      </w:pPr>
      <w:r>
        <w:t xml:space="preserve">Name the legitimate business interests with care — in Georgia they are the enforcing party's opening burden. The statute requires whoever enforces the covenant to plead and prove a legitimate business interest before the burden ever shifts to the worker, so a Protected Interests definition that maps each covenant to a concrete interest is the agreement doing the employer's future homework. </w:t>
      </w:r>
    </w:p>
    <w:p>
      <w:pPr>
        <w:keepNext/>
        <w:spacing w:before="200" w:after="80"/>
      </w:pPr>
      <w:r>
        <w:rPr>
          <w:rFonts w:ascii="Segoe UI Symbol" w:hAnsi="Segoe UI Symbol"/>
        </w:rPr>
        <w:t xml:space="preserve">☐  </w:t>
      </w:r>
      <w:r>
        <w:rPr>
          <w:b/>
        </w:rPr>
        <w:t xml:space="preserve">2.8  </w:t>
      </w:r>
      <w:r>
        <w:rPr>
          <w:b/>
        </w:rPr>
        <w:t xml:space="preserve">Competitive business</w:t>
      </w:r>
      <w:r>
        <w:t xml:space="preserve"> — Recommended (SHOULD)</w:t>
      </w:r>
    </w:p>
    <w:p>
      <w:pPr>
        <w:spacing w:before="0" w:after="120"/>
        <w:ind w:left="540"/>
      </w:pPr>
      <w:r>
        <w:t xml:space="preserve">Describe the competing activity in terms a court can apply: the products, services, and roles that actually overlap with the worker's job. Georgia tests scope of prohibited activities as one leg of the reasonableness standard, and a Competitive Business definition that swells to the employer's entire industry forces the covenant to survive on a discretionary narrowing it may never get.</w:t>
      </w:r>
    </w:p>
    <w:p>
      <w:pPr>
        <w:keepNext/>
        <w:spacing w:before="200" w:after="80"/>
      </w:pPr>
      <w:r>
        <w:rPr>
          <w:rFonts w:ascii="Segoe UI Symbol" w:hAnsi="Segoe UI Symbol"/>
        </w:rPr>
        <w:t xml:space="preserve">☐  </w:t>
      </w:r>
      <w:r>
        <w:rPr>
          <w:b/>
        </w:rPr>
        <w:t xml:space="preserve">2.9  </w:t>
      </w:r>
      <w:r>
        <w:rPr>
          <w:b/>
        </w:rPr>
        <w:t xml:space="preserve">Small public-stock carve-out</w:t>
      </w:r>
      <w:r>
        <w:t xml:space="preserve"> — Recommended (SHOULD)</w:t>
      </w:r>
    </w:p>
    <w:p>
      <w:pPr>
        <w:spacing w:before="0" w:after="120"/>
        <w:ind w:left="540"/>
      </w:pPr>
      <w:r>
        <w:t xml:space="preserve">Where the covenants restrict owning or investing in competitors, look for a passive-holdings carve-out below a stated percentage. A clause that technically bars index funds and ordinary public shares widens the scope of prohibited activities for no protective gain — gratuitous overbreadth in a state where a court weighs exactly that scope and is never obliged to trim it for you.</w:t>
      </w:r>
    </w:p>
    <w:p>
      <w:pPr>
        <w:keepNext/>
        <w:spacing w:before="200" w:after="80"/>
      </w:pPr>
      <w:r>
        <w:rPr>
          <w:rFonts w:ascii="Segoe UI Symbol" w:hAnsi="Segoe UI Symbol"/>
        </w:rPr>
        <w:t xml:space="preserve">☐  </w:t>
      </w:r>
      <w:r>
        <w:rPr>
          <w:b/>
        </w:rPr>
        <w:t xml:space="preserve">2.10  </w:t>
      </w:r>
      <w:r>
        <w:rPr>
          <w:b/>
        </w:rPr>
        <w:t xml:space="preserve">Passive public holdings</w:t>
      </w:r>
      <w:r>
        <w:t xml:space="preserve"> — Optional (MAY)</w:t>
      </w:r>
    </w:p>
    <w:p>
      <w:pPr>
        <w:spacing w:before="0" w:after="120"/>
        <w:ind w:left="540"/>
      </w:pPr>
      <w:r>
        <w:t xml:space="preserve">Optional drafting mechanics — many Georgia agreements inline the carve-out language without a capitalized term. If the defined term appears, confirm its ownership threshold matches the operative carve-out so the two never drift apart in later amendments.</w:t>
      </w:r>
    </w:p>
    <w:p>
      <w:pPr>
        <w:keepNext/>
        <w:spacing w:before="200" w:after="80"/>
      </w:pPr>
      <w:r>
        <w:rPr>
          <w:rFonts w:ascii="Segoe UI Symbol" w:hAnsi="Segoe UI Symbol"/>
        </w:rPr>
        <w:t xml:space="preserve">☐  </w:t>
      </w:r>
      <w:r>
        <w:rPr>
          <w:b/>
        </w:rPr>
        <w:t xml:space="preserve">2.11  </w:t>
      </w:r>
      <w:r>
        <w:rPr>
          <w:b/>
        </w:rPr>
        <w:t xml:space="preserve">What counts as soliciting</w:t>
      </w:r>
      <w:r>
        <w:t xml:space="preserve"> — Recommended (SHOULD)</w:t>
      </w:r>
    </w:p>
    <w:p>
      <w:pPr>
        <w:spacing w:before="0" w:after="120"/>
        <w:ind w:left="540"/>
      </w:pPr>
      <w:r>
        <w:t xml:space="preserve">Track the statutory verbs. Georgia's customer non-solicit safe harbor covers soliciting or attempting to solicit, directly or by assisting others, including actively seeking prospective customers — language aimed at initiated outreach. A definition that also captures passively receiving an unprompted inquiry stretches past what the statute blesses and should be flagged as scope creep. </w:t>
      </w:r>
    </w:p>
    <w:p>
      <w:pPr>
        <w:keepNext/>
        <w:spacing w:before="200" w:after="80"/>
      </w:pPr>
      <w:r>
        <w:rPr>
          <w:rFonts w:ascii="Segoe UI Symbol" w:hAnsi="Segoe UI Symbol"/>
        </w:rPr>
        <w:t xml:space="preserve">☐  </w:t>
      </w:r>
      <w:r>
        <w:rPr>
          <w:b/>
        </w:rPr>
        <w:t xml:space="preserve">2.12  </w:t>
      </w:r>
      <w:r>
        <w:rPr>
          <w:b/>
        </w:rPr>
        <w:t xml:space="preserve">Termination of employment</w:t>
      </w:r>
      <w:r>
        <w:t xml:space="preserve"> — Recommended (SHOULD)</w:t>
      </w:r>
    </w:p>
    <w:p>
      <w:pPr>
        <w:spacing w:before="0" w:after="120"/>
        <w:ind w:left="540"/>
      </w:pPr>
      <w:r>
        <w:t xml:space="preserve">Make the trigger unambiguous for resignation, dismissal, and the end of a fixed term alike. Georgia's durational presumptions are measured from the date the business relationship terminates, and the material-contact look-back counts backward from the same event — so a fuzzy termination definition blurs both clocks at once. </w:t>
      </w:r>
    </w:p>
    <w:p>
      <w:pPr>
        <w:keepNext/>
        <w:spacing w:before="360" w:after="160"/>
      </w:pPr>
      <w:r>
        <w:rPr>
          <w:b/>
          <w:sz w:val="28"/>
          <w:szCs w:val="28"/>
        </w:rPr>
        <w:t xml:space="preserve">3. Timing and execution acknowledgements</w:t>
      </w:r>
    </w:p>
    <w:p>
      <w:pPr>
        <w:keepNext/>
        <w:spacing w:before="200" w:after="80"/>
      </w:pPr>
      <w:r>
        <w:rPr>
          <w:rFonts w:ascii="Segoe UI Symbol" w:hAnsi="Segoe UI Symbol"/>
        </w:rPr>
        <w:t xml:space="preserve">☐  </w:t>
      </w:r>
      <w:r>
        <w:rPr>
          <w:b/>
        </w:rPr>
        <w:t xml:space="preserve">3.1  </w:t>
      </w:r>
      <w:r>
        <w:rPr>
          <w:b/>
        </w:rPr>
        <w:t xml:space="preserve">When the agreement was signed</w:t>
      </w:r>
      <w:r>
        <w:t xml:space="preserve"> — Recommended (SHOULD)</w:t>
      </w:r>
    </w:p>
    <w:p>
      <w:pPr>
        <w:spacing w:before="0" w:after="120"/>
        <w:ind w:left="540"/>
      </w:pPr>
      <w:r>
        <w:t xml:space="preserve">Pin down the signing date and what the worker received in exchange. The Act is silent on consideration, and no modern Georgia appellate decision squarely settles whether continued at-will employment alone supports a mid-employment covenant — so for an existing employee, a recital documenting some additional consideration (a raise, a bonus, a promotion) is the conservative play, and the signing date separately decides whether the Act applies at all. </w:t>
      </w:r>
    </w:p>
    <w:p>
      <w:pPr>
        <w:keepNext/>
        <w:spacing w:before="200" w:after="80"/>
      </w:pPr>
      <w:r>
        <w:rPr>
          <w:rFonts w:ascii="Segoe UI Symbol" w:hAnsi="Segoe UI Symbol"/>
        </w:rPr>
        <w:t xml:space="preserve">☐  </w:t>
      </w:r>
      <w:r>
        <w:rPr>
          <w:b/>
        </w:rPr>
        <w:t xml:space="preserve">3.2  </w:t>
      </w:r>
      <w:r>
        <w:rPr>
          <w:b/>
        </w:rPr>
        <w:t xml:space="preserve">Chance to consult a lawyer</w:t>
      </w:r>
      <w:r>
        <w:t xml:space="preserve"> — Recommended (SHOULD)</w:t>
      </w:r>
    </w:p>
    <w:p>
      <w:pPr>
        <w:spacing w:before="0" w:after="120"/>
        <w:ind w:left="540"/>
      </w:pPr>
      <w:r>
        <w:t xml:space="preserve">No Georgia statute requires it, but it is cheap procedural-fairness evidence. Because the enforcing party opens the case by proving a legitimate business interest and the overall reasonableness of the restraint, anything that shows the worker signed with eyes open quietly helps the same narrative.</w:t>
      </w:r>
    </w:p>
    <w:p>
      <w:pPr>
        <w:keepNext/>
        <w:spacing w:before="360" w:after="160"/>
      </w:pPr>
      <w:r>
        <w:rPr>
          <w:b/>
          <w:sz w:val="28"/>
          <w:szCs w:val="28"/>
        </w:rPr>
        <w:t xml:space="preserve">4. Confidentiality and trade-secret treatment</w:t>
      </w:r>
    </w:p>
    <w:p>
      <w:pPr>
        <w:keepNext/>
        <w:spacing w:before="200" w:after="80"/>
      </w:pPr>
      <w:r>
        <w:rPr>
          <w:rFonts w:ascii="Segoe UI Symbol" w:hAnsi="Segoe UI Symbol"/>
        </w:rPr>
        <w:t xml:space="preserve">☐  </w:t>
      </w:r>
      <w:r>
        <w:rPr>
          <w:b/>
        </w:rPr>
        <w:t xml:space="preserve">4.1  </w:t>
      </w:r>
      <w:r>
        <w:rPr>
          <w:b/>
        </w:rPr>
        <w:t xml:space="preserve">Trade-secret protection without an end date</w:t>
      </w:r>
      <w:r>
        <w:t xml:space="preserve"> — Required (MUST)</w:t>
      </w:r>
    </w:p>
    <w:p>
      <w:pPr>
        <w:spacing w:before="0" w:after="120"/>
        <w:ind w:left="540"/>
      </w:pPr>
      <w:r>
        <w:t xml:space="preserve">Trade-secret obligations must run for as long as secrecy does — federal law defines the right that way, and Georgia's statute goes out of its way to say the Act places no time or geographic limit on keeping material protected as a trade secret. A fixed expiry on trade-secret protection is an unforced surrender of the most durable tool in the agreement. </w:t>
      </w:r>
    </w:p>
    <w:p>
      <w:pPr>
        <w:keepNext/>
        <w:spacing w:before="200" w:after="80"/>
      </w:pPr>
      <w:r>
        <w:rPr>
          <w:rFonts w:ascii="Segoe UI Symbol" w:hAnsi="Segoe UI Symbol"/>
        </w:rPr>
        <w:t xml:space="preserve">☐  </w:t>
      </w:r>
      <w:r>
        <w:rPr>
          <w:b/>
        </w:rPr>
        <w:t xml:space="preserve">4.2  </w:t>
      </w:r>
      <w:r>
        <w:rPr>
          <w:b/>
        </w:rPr>
        <w:t xml:space="preserve">Confidentiality duration</w:t>
      </w:r>
      <w:r>
        <w:t xml:space="preserve"> — Optional (MAY)</w:t>
      </w:r>
    </w:p>
    <w:p>
      <w:pPr>
        <w:spacing w:before="0" w:after="120"/>
        <w:ind w:left="540"/>
      </w:pPr>
      <w:r>
        <w:t xml:space="preserve">Georgia removes the usual pressure for a finite confidentiality term: the Act says nothing in it limits how long, or where, a party may agree to keep information confidential, for as long as the information actually remains confidential. So an open-ended obligation keyed to continued confidentiality is statutorily sound here — what to verify instead is the conditional itself, meaning the clause releases information once it stops being confidential rather than promising secrecy forever regardless. A stated finite term for ordinary business information remains a perfectly acceptable choice. </w:t>
      </w:r>
    </w:p>
    <w:p>
      <w:pPr>
        <w:keepNext/>
        <w:spacing w:before="360" w:after="160"/>
      </w:pPr>
      <w:r>
        <w:rPr>
          <w:b/>
          <w:sz w:val="28"/>
          <w:szCs w:val="28"/>
        </w:rPr>
        <w:t xml:space="preserve">5. Permitted disclosures and protected conduct</w:t>
      </w:r>
    </w:p>
    <w:p>
      <w:pPr>
        <w:keepNext/>
        <w:spacing w:before="200" w:after="80"/>
      </w:pPr>
      <w:r>
        <w:rPr>
          <w:rFonts w:ascii="Segoe UI Symbol" w:hAnsi="Segoe UI Symbol"/>
        </w:rPr>
        <w:t xml:space="preserve">☐  </w:t>
      </w:r>
      <w:r>
        <w:rPr>
          <w:b/>
        </w:rPr>
        <w:t xml:space="preserve">5.1  </w:t>
      </w:r>
      <w:r>
        <w:rPr>
          <w:b/>
        </w:rPr>
        <w:t xml:space="preserve">DTSA whistleblower notice</w:t>
      </w:r>
      <w:r>
        <w:t xml:space="preserve"> — Required (MUST)</w:t>
      </w:r>
    </w:p>
    <w:p>
      <w:pPr>
        <w:spacing w:before="0" w:after="120"/>
        <w:ind w:left="540"/>
      </w:pPr>
      <w:r>
        <w:t xml:space="preserve">Federal law applies with full force in Georgia: an agreement governing trade secrets or confidential information must carry the whistleblower-immunity notice, or the employer forfeits exemplary damages and attorney fees in a later trade-secret action against the worker. Since confidentiality is the workhorse covenant for Georgia employers — enforceable against every employee, not just the covered categories — skipping the notice is an expensive omission. </w:t>
      </w:r>
    </w:p>
    <w:p>
      <w:pPr>
        <w:keepNext/>
        <w:spacing w:before="200" w:after="80"/>
      </w:pPr>
      <w:r>
        <w:rPr>
          <w:rFonts w:ascii="Segoe UI Symbol" w:hAnsi="Segoe UI Symbol"/>
        </w:rPr>
        <w:t xml:space="preserve">☐  </w:t>
      </w:r>
      <w:r>
        <w:rPr>
          <w:b/>
        </w:rPr>
        <w:t xml:space="preserve">5.2  </w:t>
      </w:r>
      <w:r>
        <w:rPr>
          <w:b/>
        </w:rPr>
        <w:t xml:space="preserve">Wage-discussion carve-out</w:t>
      </w:r>
      <w:r>
        <w:t xml:space="preserve"> — Required (MUST)</w:t>
      </w:r>
    </w:p>
    <w:p>
      <w:pPr>
        <w:spacing w:before="0" w:after="120"/>
        <w:ind w:left="540"/>
      </w:pPr>
      <w:r>
        <w:t xml:space="preserve">Whatever the governing state, confidentiality and non-disparagement language has to leave wages, hours, and working conditions open for discussion. Federal labor law protects that concerted activity, and the Board has condemned employee agreements whose terms broadly waive it — a Georgia choice-of-law clause changes none of this. </w:t>
      </w:r>
    </w:p>
    <w:p>
      <w:pPr>
        <w:keepNext/>
        <w:spacing w:before="200" w:after="80"/>
      </w:pPr>
      <w:r>
        <w:rPr>
          <w:rFonts w:ascii="Segoe UI Symbol" w:hAnsi="Segoe UI Symbol"/>
        </w:rPr>
        <w:t xml:space="preserve">☐  </w:t>
      </w:r>
      <w:r>
        <w:rPr>
          <w:b/>
        </w:rPr>
        <w:t xml:space="preserve">5.3  </w:t>
      </w:r>
      <w:r>
        <w:rPr>
          <w:b/>
        </w:rPr>
        <w:t xml:space="preserve">Court-ordered disclosure allowed</w:t>
      </w:r>
      <w:r>
        <w:t xml:space="preserve"> — Recommended (SHOULD)</w:t>
      </w:r>
    </w:p>
    <w:p>
      <w:pPr>
        <w:spacing w:before="0" w:after="120"/>
        <w:ind w:left="540"/>
      </w:pPr>
      <w:r>
        <w:t xml:space="preserve">Confirm the carve-out for disclosure required by law, court order, or a government investigation, with notice to the employer where lawful. Georgia adds no special statutory text here, but a confidentiality clause that purports to override a subpoena is unenforceable on its face and gives a reviewing court an easy reason to read the whole clause as overreaching.</w:t>
      </w:r>
    </w:p>
    <w:p>
      <w:pPr>
        <w:keepNext/>
        <w:spacing w:before="360" w:after="160"/>
      </w:pPr>
      <w:r>
        <w:rPr>
          <w:b/>
          <w:sz w:val="28"/>
          <w:szCs w:val="28"/>
        </w:rPr>
        <w:t xml:space="preserve">6. Property return and certification</w:t>
      </w:r>
    </w:p>
    <w:p>
      <w:pPr>
        <w:keepNext/>
        <w:spacing w:before="200" w:after="80"/>
      </w:pPr>
      <w:r>
        <w:rPr>
          <w:rFonts w:ascii="Segoe UI Symbol" w:hAnsi="Segoe UI Symbol"/>
        </w:rPr>
        <w:t xml:space="preserve">☐  </w:t>
      </w:r>
      <w:r>
        <w:rPr>
          <w:b/>
        </w:rPr>
        <w:t xml:space="preserve">6.1  </w:t>
      </w:r>
      <w:r>
        <w:rPr>
          <w:b/>
        </w:rPr>
        <w:t xml:space="preserve">Property return and sign-off</w:t>
      </w:r>
      <w:r>
        <w:t xml:space="preserve"> — Recommended (SHOULD)</w:t>
      </w:r>
    </w:p>
    <w:p>
      <w:pPr>
        <w:spacing w:before="0" w:after="120"/>
        <w:ind w:left="540"/>
      </w:pPr>
      <w:r>
        <w:t xml:space="preserve">Return-or-delete at separation, certified in writing. In Georgia the certification does double duty: confidentiality and trade-secret covenants are the protections that reach every employee regardless of job category, and a signed certification is the contemporaneous record that makes a later misappropriation claim concrete instead of speculative.</w:t>
      </w:r>
    </w:p>
    <w:p>
      <w:pPr>
        <w:keepNext/>
        <w:spacing w:before="360" w:after="160"/>
      </w:pPr>
      <w:r>
        <w:rPr>
          <w:b/>
          <w:sz w:val="28"/>
          <w:szCs w:val="28"/>
        </w:rPr>
        <w:t xml:space="preserve">7. Restrictive covenants (each independently includable)</w:t>
      </w:r>
    </w:p>
    <w:p>
      <w:pPr>
        <w:keepNext/>
        <w:spacing w:before="200" w:after="80"/>
      </w:pPr>
      <w:r>
        <w:rPr>
          <w:rFonts w:ascii="Segoe UI Symbol" w:hAnsi="Segoe UI Symbol"/>
        </w:rPr>
        <w:t xml:space="preserve">☐  </w:t>
      </w:r>
      <w:r>
        <w:rPr>
          <w:b/>
        </w:rPr>
        <w:t xml:space="preserve">7.1  </w:t>
      </w:r>
      <w:r>
        <w:rPr>
          <w:b/>
        </w:rPr>
        <w:t xml:space="preserve">Employee non-solicit</w:t>
      </w:r>
      <w:r>
        <w:t xml:space="preserve"> — Optional (MAY)</w:t>
      </w:r>
    </w:p>
    <w:p>
      <w:pPr>
        <w:spacing w:before="0" w:after="120"/>
        <w:ind w:left="540"/>
      </w:pPr>
      <w:r>
        <w:t xml:space="preserve">Optional — and in Georgia, a covenant with its own body of law. The Court of Appeals placed employee non-recruitment covenants within the ambit of the Act, and the Supreme Court reviewed a two-year non-recruitment provision under the same reasonableness standard as a non-compete. Keep it scoped to Covered Employees and the Restricted Period, and route it through the Georgia gates at the end of this checklist. </w:t>
      </w:r>
    </w:p>
    <w:p>
      <w:pPr>
        <w:keepNext/>
        <w:spacing w:before="200" w:after="80"/>
      </w:pPr>
      <w:r>
        <w:rPr>
          <w:rFonts w:ascii="Segoe UI Symbol" w:hAnsi="Segoe UI Symbol"/>
        </w:rPr>
        <w:t xml:space="preserve">☐  </w:t>
      </w:r>
      <w:r>
        <w:rPr>
          <w:b/>
        </w:rPr>
        <w:t xml:space="preserve">7.2  </w:t>
      </w:r>
      <w:r>
        <w:rPr>
          <w:b/>
        </w:rPr>
        <w:t xml:space="preserve">Customer non-solicit</w:t>
      </w:r>
      <w:r>
        <w:t xml:space="preserve"> — Optional (MAY)</w:t>
      </w:r>
    </w:p>
    <w:p>
      <w:pPr>
        <w:spacing w:before="0" w:after="120"/>
        <w:ind w:left="540"/>
      </w:pPr>
      <w:r>
        <w:t xml:space="preserve">Often the best-value covenant in a Georgia agreement: the statute blesses it expressly, exempts it from the employee-category gate that limits non-competes, and requires no geographic term. The price of that favored treatment is shape — a stated period, material-contact customers, competitive products or services — which the Georgia gates section below walks through in detail. </w:t>
      </w:r>
    </w:p>
    <w:p>
      <w:pPr>
        <w:keepNext/>
        <w:spacing w:before="200" w:after="80"/>
      </w:pPr>
      <w:r>
        <w:rPr>
          <w:rFonts w:ascii="Segoe UI Symbol" w:hAnsi="Segoe UI Symbol"/>
        </w:rPr>
        <w:t xml:space="preserve">☐  </w:t>
      </w:r>
      <w:r>
        <w:rPr>
          <w:b/>
        </w:rPr>
        <w:t xml:space="preserve">7.3  </w:t>
      </w:r>
      <w:r>
        <w:rPr>
          <w:b/>
        </w:rPr>
        <w:t xml:space="preserve">Non-dealing covenant</w:t>
      </w:r>
      <w:r>
        <w:t xml:space="preserve"> — Optional (MAY)</w:t>
      </w:r>
    </w:p>
    <w:p>
      <w:pPr>
        <w:spacing w:before="0" w:after="120"/>
        <w:ind w:left="540"/>
      </w:pPr>
      <w:r>
        <w:t xml:space="preserve">Non-dealing forbids serving covered customers even when they arrive unprompted — a step beyond the soliciting-or-attempting-to-solicit conduct Georgia's safe harbor describes. Expect a clause this broad to be analyzed as a restraint on competition in its own right, with the reasonableness standard and possibly the employee-category gate in play, rather than as a routine non-solicit. Treat its inclusion as a deliberate risk decision. </w:t>
      </w:r>
    </w:p>
    <w:p>
      <w:pPr>
        <w:keepNext/>
        <w:spacing w:before="200" w:after="80"/>
      </w:pPr>
      <w:r>
        <w:rPr>
          <w:rFonts w:ascii="Segoe UI Symbol" w:hAnsi="Segoe UI Symbol"/>
        </w:rPr>
        <w:t xml:space="preserve">☐  </w:t>
      </w:r>
      <w:r>
        <w:rPr>
          <w:b/>
        </w:rPr>
        <w:t xml:space="preserve">7.4  </w:t>
      </w:r>
      <w:r>
        <w:rPr>
          <w:b/>
        </w:rPr>
        <w:t xml:space="preserve">Non-compete covenant</w:t>
      </w:r>
      <w:r>
        <w:t xml:space="preserve"> — Optional (MAY)</w:t>
      </w:r>
    </w:p>
    <w:p>
      <w:pPr>
        <w:spacing w:before="0" w:after="120"/>
        <w:ind w:left="540"/>
      </w:pPr>
      <w:r>
        <w:t xml:space="preserve">Georgia will enforce this clause, but on conditions: the restraint must be reasonable in time, geographic area, and scope of prohibited activities, the worker must perform a covered job function, and the employer carries the opening burden of pleading and proving a legitimate business interest. If the clause appears, run the covered-function and duration gates at the end of this checklist before evaluating any individual term. </w:t>
      </w:r>
    </w:p>
    <w:p>
      <w:pPr>
        <w:keepNext/>
        <w:spacing w:before="200" w:after="80"/>
      </w:pPr>
      <w:r>
        <w:rPr>
          <w:rFonts w:ascii="Segoe UI Symbol" w:hAnsi="Segoe UI Symbol"/>
        </w:rPr>
        <w:t xml:space="preserve">☐  </w:t>
      </w:r>
      <w:r>
        <w:rPr>
          <w:b/>
        </w:rPr>
        <w:t xml:space="preserve">7.5  </w:t>
      </w:r>
      <w:r>
        <w:rPr>
          <w:b/>
        </w:rPr>
        <w:t xml:space="preserve">Named-competitor narrowing</w:t>
      </w:r>
      <w:r>
        <w:t xml:space="preserve"> — Recommended (SHOULD)</w:t>
      </w:r>
    </w:p>
    <w:p>
      <w:pPr>
        <w:spacing w:before="0" w:after="120"/>
        <w:ind w:left="540"/>
      </w:pPr>
      <w:r>
        <w:t xml:space="preserve">When the employer can name its real competitors, bind those names. Georgia writes the reward directly into the statute: a competitor list for a limited period is one of the routes by which an employer-business-areas territory earns the statutory presumption of geographic reasonableness — so the named-competitor formulation is not just narrower, it is presumption-buying. </w:t>
      </w:r>
    </w:p>
    <w:p>
      <w:pPr>
        <w:keepNext/>
        <w:spacing w:before="200" w:after="80"/>
      </w:pPr>
      <w:r>
        <w:rPr>
          <w:rFonts w:ascii="Segoe UI Symbol" w:hAnsi="Segoe UI Symbol"/>
        </w:rPr>
        <w:t xml:space="preserve">☐  </w:t>
      </w:r>
      <w:r>
        <w:rPr>
          <w:b/>
        </w:rPr>
        <w:t xml:space="preserve">7.6  </w:t>
      </w:r>
      <w:r>
        <w:rPr>
          <w:b/>
        </w:rPr>
        <w:t xml:space="preserve">Non-investment covenant</w:t>
      </w:r>
      <w:r>
        <w:t xml:space="preserve"> — Optional (MAY)</w:t>
      </w:r>
    </w:p>
    <w:p>
      <w:pPr>
        <w:spacing w:before="0" w:after="120"/>
        <w:ind w:left="540"/>
      </w:pPr>
      <w:r>
        <w:t xml:space="preserve">Rare, and worth interrogating. An investment restriction adds scope of prohibited activities without an obvious matching business interest for an ordinary employee, and Georgia's reasonableness review weighs exactly that proportionality. Confirm the passive-holdings carve-out is intact and the clause shares the defined Restricted Period rather than running on its own clock.</w:t>
      </w:r>
    </w:p>
    <w:p>
      <w:pPr>
        <w:keepNext/>
        <w:spacing w:before="360" w:after="160"/>
      </w:pPr>
      <w:r>
        <w:rPr>
          <w:b/>
          <w:sz w:val="28"/>
          <w:szCs w:val="28"/>
        </w:rPr>
        <w:t xml:space="preserve">8. Non-disparagement</w:t>
      </w:r>
    </w:p>
    <w:p>
      <w:pPr>
        <w:keepNext/>
        <w:spacing w:before="200" w:after="80"/>
      </w:pPr>
      <w:r>
        <w:rPr>
          <w:rFonts w:ascii="Segoe UI Symbol" w:hAnsi="Segoe UI Symbol"/>
        </w:rPr>
        <w:t xml:space="preserve">☐  </w:t>
      </w:r>
      <w:r>
        <w:rPr>
          <w:b/>
        </w:rPr>
        <w:t xml:space="preserve">8.1  </w:t>
      </w:r>
      <w:r>
        <w:rPr>
          <w:b/>
        </w:rPr>
        <w:t xml:space="preserve">Non-disparagement</w:t>
      </w:r>
      <w:r>
        <w:t xml:space="preserve"> — Recommended (SHOULD)</w:t>
      </w:r>
    </w:p>
    <w:p>
      <w:pPr>
        <w:spacing w:before="0" w:after="120"/>
        <w:ind w:left="540"/>
      </w:pPr>
      <w:r>
        <w:t xml:space="preserve">Reasonable to include with a stated term, but audit the carve-outs rather than the prohibition: truthful testimony, statements to government agencies, and protected workplace speech must stay outside the clause. Georgia law adds no covenant-specific restriction here, so the governing risk is federal — the Board treats employee agreements that broadly waive protected speech as unlawful in every state. </w:t>
      </w:r>
    </w:p>
    <w:p>
      <w:pPr>
        <w:keepNext/>
        <w:spacing w:before="360" w:after="160"/>
      </w:pPr>
      <w:r>
        <w:rPr>
          <w:b/>
          <w:sz w:val="28"/>
          <w:szCs w:val="28"/>
        </w:rPr>
        <w:t xml:space="preserve">9. Physician-specific notices and carve-outs</w:t>
      </w:r>
    </w:p>
    <w:p>
      <w:pPr>
        <w:keepNext/>
        <w:spacing w:before="200" w:after="80"/>
      </w:pPr>
      <w:r>
        <w:rPr>
          <w:rFonts w:ascii="Segoe UI Symbol" w:hAnsi="Segoe UI Symbol"/>
        </w:rPr>
        <w:t xml:space="preserve">☐  </w:t>
      </w:r>
      <w:r>
        <w:rPr>
          <w:b/>
        </w:rPr>
        <w:t xml:space="preserve">9.1  </w:t>
      </w:r>
      <w:r>
        <w:rPr>
          <w:b/>
        </w:rPr>
        <w:t xml:space="preserve">Physician rights and notices</w:t>
      </w:r>
      <w:r>
        <w:t xml:space="preserve"> — Recommended (SHOULD)</w:t>
      </w:r>
    </w:p>
    <w:p>
      <w:pPr>
        <w:spacing w:before="0" w:after="120"/>
        <w:ind w:left="540"/>
      </w:pPr>
      <w:r>
        <w:t xml:space="preserve">The dedicated clause should state Georgia's current position plainly: there is no physician-specific statutory ban, a physician typically qualifies as a professional — one of the categories that can be bound — and the covenant is judged on ordinary reasonableness terms. Two cautions belong in the review notes: other healthcare workers are covered only if they independently fall within a listed category, and healthcare non-compete bills recur in the Georgia legislature, so confirm the statute is unchanged before relying on a physician covenant. </w:t>
      </w:r>
    </w:p>
    <w:p>
      <w:pPr>
        <w:keepNext/>
        <w:spacing w:before="360" w:after="160"/>
      </w:pPr>
      <w:r>
        <w:rPr>
          <w:b/>
          <w:sz w:val="28"/>
          <w:szCs w:val="28"/>
        </w:rPr>
        <w:t xml:space="preserve">10. No conflicting obligations</w:t>
      </w:r>
    </w:p>
    <w:p>
      <w:pPr>
        <w:keepNext/>
        <w:spacing w:before="200" w:after="80"/>
      </w:pPr>
      <w:r>
        <w:rPr>
          <w:rFonts w:ascii="Segoe UI Symbol" w:hAnsi="Segoe UI Symbol"/>
        </w:rPr>
        <w:t xml:space="preserve">☐  </w:t>
      </w:r>
      <w:r>
        <w:rPr>
          <w:b/>
        </w:rPr>
        <w:t xml:space="preserve">10.1  </w:t>
      </w:r>
      <w:r>
        <w:rPr>
          <w:b/>
        </w:rPr>
        <w:t xml:space="preserve">No conflicting obligations</w:t>
      </w:r>
      <w:r>
        <w:t xml:space="preserve"> — Recommended (SHOULD)</w:t>
      </w:r>
    </w:p>
    <w:p>
      <w:pPr>
        <w:spacing w:before="0" w:after="120"/>
        <w:ind w:left="540"/>
      </w:pPr>
      <w:r>
        <w:t xml:space="preserve">The worker's representation that no earlier covenant or order blocks the new role. It earns its place on Georgia intake reviews: an incoming covenant signed in another state will be measured against Georgia law if it is ever litigated here, and the representation forces that conversation before onboarding instead of after a demand letter arrives.</w:t>
      </w:r>
    </w:p>
    <w:p>
      <w:pPr>
        <w:keepNext/>
        <w:spacing w:before="360" w:after="160"/>
      </w:pPr>
      <w:r>
        <w:rPr>
          <w:b/>
          <w:sz w:val="28"/>
          <w:szCs w:val="28"/>
        </w:rPr>
        <w:t xml:space="preserve">11. Notice to future employers and other third parties</w:t>
      </w:r>
    </w:p>
    <w:p>
      <w:pPr>
        <w:keepNext/>
        <w:spacing w:before="200" w:after="80"/>
      </w:pPr>
      <w:r>
        <w:rPr>
          <w:rFonts w:ascii="Segoe UI Symbol" w:hAnsi="Segoe UI Symbol"/>
        </w:rPr>
        <w:t xml:space="preserve">☐  </w:t>
      </w:r>
      <w:r>
        <w:rPr>
          <w:b/>
        </w:rPr>
        <w:t xml:space="preserve">11.1  </w:t>
      </w:r>
      <w:r>
        <w:rPr>
          <w:b/>
        </w:rPr>
        <w:t xml:space="preserve">Notice to future employers</w:t>
      </w:r>
      <w:r>
        <w:t xml:space="preserve"> — Optional (MAY)</w:t>
      </w:r>
    </w:p>
    <w:p>
      <w:pPr>
        <w:spacing w:before="0" w:after="120"/>
        <w:ind w:left="540"/>
      </w:pPr>
      <w:r>
        <w:t xml:space="preserve">A genuine drafting choice, not a default. A notice provision can support enforcement, but warning a new employer off a worker based on a covenant a Georgia court later finds unreasonable — and declines to narrow — converts the letter into tortious-interference exposure. If the clause appears, keep any third-party disclosure factual and tied to covenants that plausibly survive the Act's review.</w:t>
      </w:r>
    </w:p>
    <w:p>
      <w:pPr>
        <w:keepNext/>
        <w:spacing w:before="360" w:after="160"/>
      </w:pPr>
      <w:r>
        <w:rPr>
          <w:b/>
          <w:sz w:val="28"/>
          <w:szCs w:val="28"/>
        </w:rPr>
        <w:t xml:space="preserve">12. Tolling during breach</w:t>
      </w:r>
    </w:p>
    <w:p>
      <w:pPr>
        <w:keepNext/>
        <w:spacing w:before="200" w:after="80"/>
      </w:pPr>
      <w:r>
        <w:rPr>
          <w:rFonts w:ascii="Segoe UI Symbol" w:hAnsi="Segoe UI Symbol"/>
        </w:rPr>
        <w:t xml:space="preserve">☐  </w:t>
      </w:r>
      <w:r>
        <w:rPr>
          <w:b/>
        </w:rPr>
        <w:t xml:space="preserve">12.1  </w:t>
      </w:r>
      <w:r>
        <w:rPr>
          <w:b/>
        </w:rPr>
        <w:t xml:space="preserve">Restriction extended during a breach</w:t>
      </w:r>
      <w:r>
        <w:t xml:space="preserve"> — Avoid (SHOULD NOT)</w:t>
      </w:r>
    </w:p>
    <w:p>
      <w:pPr>
        <w:spacing w:before="0" w:after="120"/>
        <w:ind w:left="540"/>
      </w:pPr>
      <w:r>
        <w:t xml:space="preserve">Do not let an extension clause stand in for prompt enforcement. Georgia's Court of Appeals reversed a trial court for extending an injunction past the contractual expiration of a non-compete — even against a party who was violating the injunction — because Georgia precedent rejects equitable extension of a covenant's period. Whether a self-executing contractual tolling clause fares any better is undecided, so treat the stated end date as the real one: the agreement should still say whether the clock pauses during breach, but the employer's protection is moving fast inside the term, not banking on time added after it. </w:t>
      </w:r>
    </w:p>
    <w:p>
      <w:pPr>
        <w:keepNext/>
        <w:spacing w:before="360" w:after="160"/>
      </w:pPr>
      <w:r>
        <w:rPr>
          <w:b/>
          <w:sz w:val="28"/>
          <w:szCs w:val="28"/>
        </w:rPr>
        <w:t xml:space="preserve">13. Remedies</w:t>
      </w:r>
    </w:p>
    <w:p>
      <w:pPr>
        <w:keepNext/>
        <w:spacing w:before="200" w:after="80"/>
      </w:pPr>
      <w:r>
        <w:rPr>
          <w:rFonts w:ascii="Segoe UI Symbol" w:hAnsi="Segoe UI Symbol"/>
        </w:rPr>
        <w:t xml:space="preserve">☐  </w:t>
      </w:r>
      <w:r>
        <w:rPr>
          <w:b/>
        </w:rPr>
        <w:t xml:space="preserve">13.1  </w:t>
      </w:r>
      <w:r>
        <w:rPr>
          <w:b/>
        </w:rPr>
        <w:t xml:space="preserve">Injunction availability</w:t>
      </w:r>
      <w:r>
        <w:t xml:space="preserve"> — Recommended (SHOULD)</w:t>
      </w:r>
    </w:p>
    <w:p>
      <w:pPr>
        <w:spacing w:before="0" w:after="120"/>
        <w:ind w:left="540"/>
      </w:pPr>
      <w:r>
        <w:t xml:space="preserve">Look for the acknowledgement that breach may cause irreparable harm and that injunctive relief is appropriate. Georgia backs the remedy with statute — courts enforce restrictive covenants by any appropriate and effective remedy at law or equity, including temporary and permanent injunctions — but the relief runs only through the covenant's stated term, which is one more reason the duration item above matters. </w:t>
      </w:r>
    </w:p>
    <w:p>
      <w:pPr>
        <w:keepNext/>
        <w:spacing w:before="200" w:after="80"/>
      </w:pPr>
      <w:r>
        <w:rPr>
          <w:rFonts w:ascii="Segoe UI Symbol" w:hAnsi="Segoe UI Symbol"/>
        </w:rPr>
        <w:t xml:space="preserve">☐  </w:t>
      </w:r>
      <w:r>
        <w:rPr>
          <w:b/>
        </w:rPr>
        <w:t xml:space="preserve">13.2  </w:t>
      </w:r>
      <w:r>
        <w:rPr>
          <w:b/>
        </w:rPr>
        <w:t xml:space="preserve">Attorney fees and costs</w:t>
      </w:r>
      <w:r>
        <w:t xml:space="preserve"> — Optional (MAY)</w:t>
      </w:r>
    </w:p>
    <w:p>
      <w:pPr>
        <w:spacing w:before="0" w:after="120"/>
        <w:ind w:left="540"/>
      </w:pPr>
      <w:r>
        <w:t xml:space="preserve">A commercial choice — Georgia imposes no covenant-specific fee rule, so the American Rule applies when the agreement is silent. If fee-shifting appears, prefer a mutual prevailing-party formulation: a one-way employer clause adds friction to negotiation and gives a court weighing overall reasonableness one more aggressive term to notice.</w:t>
      </w:r>
    </w:p>
    <w:p>
      <w:pPr>
        <w:keepNext/>
        <w:spacing w:before="360" w:after="160"/>
      </w:pPr>
      <w:r>
        <w:rPr>
          <w:b/>
          <w:sz w:val="28"/>
          <w:szCs w:val="28"/>
        </w:rPr>
        <w:t xml:space="preserve">14. Severability and reformation</w:t>
      </w:r>
    </w:p>
    <w:p>
      <w:pPr>
        <w:keepNext/>
        <w:spacing w:before="200" w:after="80"/>
      </w:pPr>
      <w:r>
        <w:rPr>
          <w:rFonts w:ascii="Segoe UI Symbol" w:hAnsi="Segoe UI Symbol"/>
        </w:rPr>
        <w:t xml:space="preserve">☐  </w:t>
      </w:r>
      <w:r>
        <w:rPr>
          <w:b/>
        </w:rPr>
        <w:t xml:space="preserve">14.1  </w:t>
      </w:r>
      <w:r>
        <w:rPr>
          <w:b/>
        </w:rPr>
        <w:t xml:space="preserve">No reliance on court rescue</w:t>
      </w:r>
      <w:r>
        <w:t xml:space="preserve"> — Avoid (SHOULD NOT)</w:t>
      </w:r>
    </w:p>
    <w:p>
      <w:pPr>
        <w:spacing w:before="0" w:after="120"/>
        <w:ind w:left="540"/>
      </w:pPr>
      <w:r>
        <w:t xml:space="preserve">Georgia has a blue pencil, but read the severability clause as if it might never be picked up. The Act makes a non-compliant covenant void and unenforceable, then permits — never requires — a court to modify it, and the modification can only narrow: nothing may leave the covenant more restrictive than as originally drafted, and a court will not write in the limits the drafter left out. The Court of Appeals has affirmed a trial court that declined to modify at all, leaving the covenants dead as written. So a modification clause is fine to include; drafting broad because the clause exists is the mistake. Size each covenant to the legitimate interest from the start. </w:t>
      </w:r>
    </w:p>
    <w:p>
      <w:pPr>
        <w:keepNext/>
        <w:spacing w:before="360" w:after="160"/>
      </w:pPr>
      <w:r>
        <w:rPr>
          <w:b/>
          <w:sz w:val="28"/>
          <w:szCs w:val="28"/>
        </w:rPr>
        <w:t xml:space="preserve">15. Survival</w:t>
      </w:r>
    </w:p>
    <w:p>
      <w:pPr>
        <w:keepNext/>
        <w:spacing w:before="200" w:after="80"/>
      </w:pPr>
      <w:r>
        <w:rPr>
          <w:rFonts w:ascii="Segoe UI Symbol" w:hAnsi="Segoe UI Symbol"/>
        </w:rPr>
        <w:t xml:space="preserve">☐  </w:t>
      </w:r>
      <w:r>
        <w:rPr>
          <w:b/>
        </w:rPr>
        <w:t xml:space="preserve">15.1  </w:t>
      </w:r>
      <w:r>
        <w:rPr>
          <w:b/>
        </w:rPr>
        <w:t xml:space="preserve">Survival after the agreement ends</w:t>
      </w:r>
      <w:r>
        <w:t xml:space="preserve"> — Recommended (SHOULD)</w:t>
      </w:r>
    </w:p>
    <w:p>
      <w:pPr>
        <w:spacing w:before="0" w:after="120"/>
        <w:ind w:left="540"/>
      </w:pPr>
      <w:r>
        <w:t xml:space="preserve">Per-covenant survival keeps each Georgia clock independently checkable: confidentiality and trade-secret obligations can lawfully run for as long as the information stays protected, while the competition restraints live inside their presumption windows and end on their stated dates. A single bundled survival clause blurs that structure — and the stated end dates carry real weight in Georgia, because no court will extend them afterward.</w:t>
      </w:r>
    </w:p>
    <w:p>
      <w:pPr>
        <w:keepNext/>
        <w:spacing w:before="360" w:after="160"/>
      </w:pPr>
      <w:r>
        <w:rPr>
          <w:b/>
          <w:sz w:val="28"/>
          <w:szCs w:val="28"/>
        </w:rPr>
        <w:t xml:space="preserve">16. Assignment and successors</w:t>
      </w:r>
    </w:p>
    <w:p>
      <w:pPr>
        <w:keepNext/>
        <w:spacing w:before="200" w:after="80"/>
      </w:pPr>
      <w:r>
        <w:rPr>
          <w:rFonts w:ascii="Segoe UI Symbol" w:hAnsi="Segoe UI Symbol"/>
        </w:rPr>
        <w:t xml:space="preserve">☐  </w:t>
      </w:r>
      <w:r>
        <w:rPr>
          <w:b/>
        </w:rPr>
        <w:t xml:space="preserve">16.1  </w:t>
      </w:r>
      <w:r>
        <w:rPr>
          <w:b/>
        </w:rPr>
        <w:t xml:space="preserve">Assignment and successors</w:t>
      </w:r>
      <w:r>
        <w:t xml:space="preserve"> — Recommended (SHOULD)</w:t>
      </w:r>
    </w:p>
    <w:p>
      <w:pPr>
        <w:spacing w:before="0" w:after="120"/>
        <w:ind w:left="540"/>
      </w:pPr>
      <w:r>
        <w:t xml:space="preserve">Confirm employer-side assignability to successors and that the worker cannot assign. Georgia adds a structural footnote: the Act applies only between its listed relationships, and the durational presumptions differ by relationship — an employee covenant is presumed reasonable at two years, a sale-of-business covenant at five or more — so when covenants move in an acquisition, check which relationship, and which window, the surviving covenant actually claims.</w:t>
      </w:r>
    </w:p>
    <w:p>
      <w:pPr>
        <w:keepNext/>
        <w:spacing w:before="360" w:after="160"/>
      </w:pPr>
      <w:r>
        <w:rPr>
          <w:b/>
          <w:sz w:val="28"/>
          <w:szCs w:val="28"/>
        </w:rPr>
        <w:t xml:space="preserve">17. Governing law, venue, dispute process</w:t>
      </w:r>
    </w:p>
    <w:p>
      <w:pPr>
        <w:keepNext/>
        <w:spacing w:before="200" w:after="80"/>
      </w:pPr>
      <w:r>
        <w:rPr>
          <w:rFonts w:ascii="Segoe UI Symbol" w:hAnsi="Segoe UI Symbol"/>
        </w:rPr>
        <w:t xml:space="preserve">☐  </w:t>
      </w:r>
      <w:r>
        <w:rPr>
          <w:b/>
        </w:rPr>
        <w:t xml:space="preserve">17.1  </w:t>
      </w:r>
      <w:r>
        <w:rPr>
          <w:b/>
        </w:rPr>
        <w:t xml:space="preserve">Georgia law tested first</w:t>
      </w:r>
      <w:r>
        <w:t xml:space="preserve"> — Avoid (SHOULD NOT)</w:t>
      </w:r>
    </w:p>
    <w:p>
      <w:pPr>
        <w:spacing w:before="0" w:after="120"/>
        <w:ind w:left="540"/>
      </w:pPr>
      <w:r>
        <w:t xml:space="preserve">Treat a foreign choice-of-law clause as cosmetic for enforceability purposes. The Supreme Court of Georgia has held that Georgia law remains the touchstone in Georgia courts even where the contract selects another state's law, and that a covenant found unreasonable under the Act cannot be enforced by applying foreign law instead. The sequence is fixed — the Act first, the chosen law only if the covenant survives — so a form that leans on a permissive sister-state selection was never localized for Georgia. The clause should still name governing law, venue, and process; it just cannot do the work the drafter may have hoped. </w:t>
      </w:r>
    </w:p>
    <w:p>
      <w:pPr>
        <w:keepNext/>
        <w:spacing w:before="360" w:after="160"/>
      </w:pPr>
      <w:r>
        <w:rPr>
          <w:b/>
          <w:sz w:val="28"/>
          <w:szCs w:val="28"/>
        </w:rPr>
        <w:t xml:space="preserve">18. Entire agreement, amendment, waiver, e-signatures</w:t>
      </w:r>
    </w:p>
    <w:p>
      <w:pPr>
        <w:keepNext/>
        <w:spacing w:before="200" w:after="80"/>
      </w:pPr>
      <w:r>
        <w:rPr>
          <w:rFonts w:ascii="Segoe UI Symbol" w:hAnsi="Segoe UI Symbol"/>
        </w:rPr>
        <w:t xml:space="preserve">☐  </w:t>
      </w:r>
      <w:r>
        <w:rPr>
          <w:b/>
        </w:rPr>
        <w:t xml:space="preserve">18.1  </w:t>
      </w:r>
      <w:r>
        <w:rPr>
          <w:b/>
        </w:rPr>
        <w:t xml:space="preserve">Entire agreement, amendments, e-signatures</w:t>
      </w:r>
      <w:r>
        <w:t xml:space="preserve"> — Recommended (SHOULD)</w:t>
      </w:r>
    </w:p>
    <w:p>
      <w:pPr>
        <w:spacing w:before="0" w:after="120"/>
        <w:ind w:left="540"/>
      </w:pPr>
      <w:r>
        <w:t xml:space="preserve">Standard boilerplate with one Georgia wrinkle worth noting: the Act governs contracts entered into on or after May 11, 2011, so re-papering an old covenant — a restated agreement, a fresh signature on an updated form — creates a new contract that takes the modern regime, with its reasonableness standard and narrowing-only modification, in place of the old common law. Review the amendment mechanics so that switch happens by design rather than by accident. </w:t>
      </w:r>
    </w:p>
    <w:p>
      <w:pPr>
        <w:keepNext/>
        <w:spacing w:before="360" w:after="160"/>
      </w:pPr>
      <w:r>
        <w:rPr>
          <w:b/>
          <w:sz w:val="28"/>
          <w:szCs w:val="28"/>
        </w:rPr>
        <w:t xml:space="preserve">19. Georgia statutory gates (O.C.G.A. § 13-8-50 et seq.)</w:t>
      </w:r>
    </w:p>
    <w:p>
      <w:pPr>
        <w:spacing w:before="0" w:after="120"/>
      </w:pPr>
      <w:r>
        <w:t xml:space="preserve">The five items below exist only on this Georgia page: they implement the Act's covered-employee gate, its two-, three-, and five-year durational presumptions, the pre-2011 date screen, and the statutory shapes for customer non-solicits and employee non-recruitment covenants that have no analogue in the jurisdiction-neutral checklist.</w:t>
      </w:r>
    </w:p>
    <w:p>
      <w:pPr>
        <w:keepNext/>
        <w:spacing w:before="200" w:after="80"/>
      </w:pPr>
      <w:r>
        <w:rPr>
          <w:rFonts w:ascii="Segoe UI Symbol" w:hAnsi="Segoe UI Symbol"/>
        </w:rPr>
        <w:t xml:space="preserve">☐  </w:t>
      </w:r>
      <w:r>
        <w:rPr>
          <w:b/>
        </w:rPr>
        <w:t xml:space="preserve">19.1  </w:t>
      </w:r>
      <w:r>
        <w:rPr>
          <w:b/>
        </w:rPr>
        <w:t xml:space="preserve">Covered job function for the non-compete</w:t>
      </w:r>
      <w:r>
        <w:t xml:space="preserve"> — Required (MUST)</w:t>
      </w:r>
    </w:p>
    <w:p>
      <w:pPr>
        <w:spacing w:before="0" w:after="120"/>
        <w:ind w:left="540"/>
      </w:pPr>
      <w:r>
        <w:t xml:space="preserve">Before evaluating a single term of a Georgia post-employment non-compete, establish that the worker belongs to a class the Act lets it bind: employees who customarily and regularly solicit customers, make sales or obtain orders, perform the enumerated managerial duties, or perform the duties of a key employee or professional. The gate ignores how reasonable the covenant is — a flawless restraint still fails against a worker outside the categories, and the case law polices the definitions: an hourly equipment operator was held not to be a key employee, sinking the injunction. Customer non-solicits and confidentiality clauses sit outside the gate; the non-compete does not. </w:t>
      </w:r>
    </w:p>
    <w:p>
      <w:pPr>
        <w:keepNext/>
        <w:spacing w:before="200" w:after="80"/>
      </w:pPr>
      <w:r>
        <w:rPr>
          <w:rFonts w:ascii="Segoe UI Symbol" w:hAnsi="Segoe UI Symbol"/>
        </w:rPr>
        <w:t xml:space="preserve">☐  </w:t>
      </w:r>
      <w:r>
        <w:rPr>
          <w:b/>
        </w:rPr>
        <w:t xml:space="preserve">19.2  </w:t>
      </w:r>
      <w:r>
        <w:rPr>
          <w:b/>
        </w:rPr>
        <w:t xml:space="preserve">Duration inside the presumption window</w:t>
      </w:r>
      <w:r>
        <w:t xml:space="preserve"> — Recommended (SHOULD)</w:t>
      </w:r>
    </w:p>
    <w:p>
      <w:pPr>
        <w:spacing w:before="0" w:after="120"/>
        <w:ind w:left="540"/>
      </w:pPr>
      <w:r>
        <w:t xml:space="preserve">Match the restricted period to the relationship that produced the covenant. Georgia presumes reasonable a restraint of two years or less against a former employee, three years or less against a distributor, dealer, franchisee, lessee, or licensee, and the longer of five years or the payout period against the seller or owner of a business — each measured from termination or disposition, each presumed unreasonable beyond the window. The presumptions are rebuttable in both directions, but they decide who carries the burden, so a covenant drafted one month past its window has volunteered for the harder side of the argument. </w:t>
      </w:r>
    </w:p>
    <w:p>
      <w:pPr>
        <w:keepNext/>
        <w:spacing w:before="200" w:after="80"/>
      </w:pPr>
      <w:r>
        <w:rPr>
          <w:rFonts w:ascii="Segoe UI Symbol" w:hAnsi="Segoe UI Symbol"/>
        </w:rPr>
        <w:t xml:space="preserve">☐  </w:t>
      </w:r>
      <w:r>
        <w:rPr>
          <w:b/>
        </w:rPr>
        <w:t xml:space="preserve">19.3  </w:t>
      </w:r>
      <w:r>
        <w:rPr>
          <w:b/>
        </w:rPr>
        <w:t xml:space="preserve">Pre-2011 agreements screened out</w:t>
      </w:r>
      <w:r>
        <w:t xml:space="preserve"> — Required (MUST)</w:t>
      </w:r>
    </w:p>
    <w:p>
      <w:pPr>
        <w:spacing w:before="0" w:after="120"/>
        <w:ind w:left="540"/>
      </w:pPr>
      <w:r>
        <w:t xml:space="preserve">Run the date screen first: the Act applies only to contracts entered into on or after May 11, 2011, and expressly does not apply when a court determines the enforceability of a covenant entered before that date. A pre-2011 covenant lives under Georgia's old strict common law — heightened scrutiny, no judicial modification, an overbroad employment non-compete void in its entirety — which means every Georgia-specific item on this page assumes a post-2011 signing. For a legacy covenant, the practical fix is usually a fresh agreement under the modern Act rather than a defense of the old one. </w:t>
      </w:r>
    </w:p>
    <w:p>
      <w:pPr>
        <w:keepNext/>
        <w:spacing w:before="200" w:after="80"/>
      </w:pPr>
      <w:r>
        <w:rPr>
          <w:rFonts w:ascii="Segoe UI Symbol" w:hAnsi="Segoe UI Symbol"/>
        </w:rPr>
        <w:t xml:space="preserve">☐  </w:t>
      </w:r>
      <w:r>
        <w:rPr>
          <w:b/>
        </w:rPr>
        <w:t xml:space="preserve">19.4  </w:t>
      </w:r>
      <w:r>
        <w:rPr>
          <w:b/>
        </w:rPr>
        <w:t xml:space="preserve">Material-contact anchor for the customer non-solicit</w:t>
      </w:r>
      <w:r>
        <w:t xml:space="preserve"> — Recommended (SHOULD)</w:t>
      </w:r>
    </w:p>
    <w:p>
      <w:pPr>
        <w:spacing w:before="0" w:after="120"/>
        <w:ind w:left="540"/>
      </w:pPr>
      <w:r>
        <w:t xml:space="preserve">Hold the customer non-solicit to its statutory shape: a stated period, customers with whom the employee had material contact, and products or services competitive with the employer's business. Material contact has a precise definition — customers the employee dealt with, coordinated or supervised dealings for, learned confidential information about, or earned compensation from within the two years before termination — and a clause anchored to it needs no geographic term and no express description of competitive product types. A clause reaching the employer's entire customer base trades that statutory blessing for an overbreadth fight. </w:t>
      </w:r>
    </w:p>
    <w:p>
      <w:pPr>
        <w:keepNext/>
        <w:spacing w:before="200" w:after="80"/>
      </w:pPr>
      <w:r>
        <w:rPr>
          <w:rFonts w:ascii="Segoe UI Symbol" w:hAnsi="Segoe UI Symbol"/>
        </w:rPr>
        <w:t xml:space="preserve">☐  </w:t>
      </w:r>
      <w:r>
        <w:rPr>
          <w:b/>
        </w:rPr>
        <w:t xml:space="preserve">19.5  </w:t>
      </w:r>
      <w:r>
        <w:rPr>
          <w:b/>
        </w:rPr>
        <w:t xml:space="preserve">No-poach clause under the Act</w:t>
      </w:r>
      <w:r>
        <w:t xml:space="preserve"> — Recommended (SHOULD)</w:t>
      </w:r>
    </w:p>
    <w:p>
      <w:pPr>
        <w:spacing w:before="0" w:after="120"/>
        <w:ind w:left="540"/>
      </w:pPr>
      <w:r>
        <w:t xml:space="preserve">Review any employee non-recruitment or no-hire clause as a creature of the Act, not of general contract law. Georgia's appellate courts placed these covenants within the ambit of the statute, and the Supreme Court reviewed a two-year non-recruitment provision under the same section that governs non-competes — holding along the way that no express geographic term is required. The consequences are concrete: reasonableness in time and scope is the test, the two-year employee presumption is the natural durational anchor, and an overbroad clause depends on the same discretionary, narrowing-only modification as every other covenant on this page. </w:t>
      </w:r>
    </w:p>
    <w:p>
      <w:pPr>
        <w:spacing w:before="360" w:after="0"/>
      </w:pPr>
      <w:r>
        <w:rPr>
          <w:color w:val="666666"/>
          <w:sz w:val="16"/>
          <w:szCs w:val="16"/>
        </w:rPr>
        <w:t xml:space="preserve">Steven Obiajulu, J.D. edits this review checklist for Georgia (US) coverage. It synthesizes legal sources and is not legal advice. This article is for informational purposes only and does not create an attorney-client relationship.</w:t>
      </w:r>
    </w:p>
    <w:sectPr>
      <w:pgSz w:w="12240" w:h="15840"/>
      <w:pgMar w:top="1440" w:right="1440" w:bottom="1440" w:left="1440"/>
    </w:sectPr>
  </w:body>
</w:document>
</file>

<file path=word/styles.xml><?xml version="1.0" encoding="utf-8"?>
<w:styles xmlns:w="http://schemas.openxmlformats.org/wordprocessingml/2006/main">
  <w:docDefaults>
    <w:rPrDefault>
      <w:rPr>
        <w:rFonts w:ascii="Calibri" w:hAnsi="Calibri"/>
        <w:sz w:val="22"/>
        <w:szCs w:val="22"/>
      </w:rPr>
    </w:rPrDefault>
    <w:pPrDefault>
      <w:pPr>
        <w:spacing w:after="120" w:line="276" w:lineRule="auto"/>
      </w:pPr>
    </w:p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