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Hawaii</w:t>
      </w:r>
    </w:p>
    <w:p>
      <w:pPr>
        <w:spacing w:before="0" w:after="120"/>
      </w:pPr>
      <w:r>
        <w:rPr>
          <w:i/>
          <w:color w:val="444444"/>
        </w:rPr>
        <w:t xml:space="preserve">A clause-by-clause reviewer checklist for Hawaii employee restrictive covenant agreements — confidentiality, non-solicits, non-competes, and non-disparagement under HRS chapter 480's restraint-of-trade framework and the technology-business employee ban.</w:t>
      </w:r>
    </w:p>
    <w:p>
      <w:pPr>
        <w:spacing w:before="0" w:after="240"/>
      </w:pPr>
      <w:r>
        <w:rPr>
          <w:color w:val="666666"/>
          <w:sz w:val="18"/>
          <w:szCs w:val="18"/>
        </w:rPr>
        <w:t xml:space="preserve">By Steven Obiajulu, J.D. Last reviewed 2026-06-12. License: CC BY 4.0. https://openagreements.org/checklists/non-compete/us/hawaii</w:t>
      </w:r>
    </w:p>
    <w:p>
      <w:pPr>
        <w:keepNext/>
        <w:spacing w:before="360" w:after="160"/>
      </w:pPr>
      <w:r>
        <w:rPr>
          <w:b/>
          <w:sz w:val="28"/>
          <w:szCs w:val="28"/>
        </w:rPr>
        <w:t xml:space="preserve">1. Parties and cover-term identification</w:t>
      </w:r>
    </w:p>
    <w:p>
      <w:pPr>
        <w:spacing w:before="0" w:after="120"/>
      </w:pPr>
      <w:r>
        <w:t xml:space="preserve">Review every item below the way a Hawaii court would: the covenant is measured against an antitrust statute, not contract reasonableness alone. HRS chapter 480 makes in-state restraints of trade illegal unless the covenant is ancillary to a legitimate purpose, and a flat statutory ban voids non-compete and employee non-solicit clauses for employees of a technology business. For the question-by-question legal analysis behind these items, see the </w:t>
      </w:r>
      <w:r>
        <w:t xml:space="preserve">Hawaii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In Hawaii the statutory ban keys to the employer's business — whether the employing entity derives the majority of its gross income from software or information technology development — so a covenant papered with a parent, affiliate, or staffing entity can obscure whether the technology-business rule governs.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needs a defined start. Hawaii imposes no statutory maximum duration, but the effective length of each restraint feeds directly into the antitrust analysis — a reasonable period is a condition of the statutory covenant categories — so an undated instrument leaves the reviewer unable to audit any duration at all.</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title and the actual duties, then look past them: in Hawaii the decisive classification question is the employer's line of business, not the worker's job description. An employee of a technology business cannot be bound by a non-compete or an employee non-solicit at all, while the title still matters for whether a protectable interest — specialized training, customer relationships, access to trade secrets — plausibly attaches to this worker.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choice decides whether the covenant is measured against HRS chapter 480's restraint-of-trade screen and the technology-business ban or against some other body of law, and an agreement that leaves the question open invites a threshold fight before the merits.</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genuinely protects. Hawaii's highest court has scrutinized whether claimed confidential information is actually confidential — the leading decision rejected the theory where similarly situated workers were not restricted, the information circulated more broadly, and no trade-secret violation was shown. A definition that labels ordinary market knowledge confidential will not carry a covenant.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In Hawaii this definition is the load-bearing one. The statute expressly permits an employee or agent covenant not to use the employer's trade secrets in competition, and that category is the only restrictive covenant that survives for technology-business employees — so what the agreement counts as a trade secret marks the outer edge of the strongest, and sometimes the only, available restraint.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Hawaii sets no fixed ceiling, but length of time is one of the factors a court examines when weighing a restraint, and the statutory categories each demand a reasonable period — so the period should be the shortest the protected interest credibly requires, with the record explaining why.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Geographic scope is examined alongside duration and breadth, and the contract's own territory controls what can be enforced — in the staged case law an injunction entered statewide was sent back to be trimmed to the covenant's County of Honolulu limit. Define the territory precisely and size it to where the protected interest actually operates.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had real contact with during a stated look-back window. Special customer relationships are among the interests Hawaii recognizes as protectable, and a customer class limited to relationships the worker actually built keeps the clause tethered to that interest rather than to the market at large.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class to colleagues the departing worker actually worked with during the look-back window. Two Hawaii rules shadow this definition: an employee non-solicit is analyzed as a restraint of trade needing its own legitimate purpose, and for technology-business employees the statute voids the clause entirely no matter how the class is drawn.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Hawaii recognizes: trade secrets, genuinely confidential information, special customer relationships, and specialized training combined with other protectable factors. The recital matters more here than in most boilerplate because preventing competition is not a legitimate purpose — a recital that amounts to a wish to keep the worker out of the market supports nothing.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In Hawaii an over-wide definition does double damage: it widens the restraint the court must weigh, and it reads as evidence that the covenant's real purpose is blocking competition — which is exactly the purpose the antitrust screen refuses to credit.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ordinary public shareholdings adds hardship on the restricted person with no protected interest behind it — and undue hardship is one of the three grounds on which a Hawaii court will find a restraint unreasonable.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Hawaii has answered this definitional question at the highest level: solicitation requires an active initiation of contact, and former coworkers quitting to join the departing employee's new venture does not by itself prove a violation. Check that the agreement's definition tracks that active-initiation standard — no-contact, no-service, and no-acceptance formulations reach conduct the court has placed outside solicitation, widening a clause that already needs its own legitimate purpose to survive the restraint-of-trade screen.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statutory trade-secret covenant runs during the relationship or after termination of employment for the time reasonably necessary — a clean, single definition of when employment ends is what keeps that clock, and every other covenant clock, auditable.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of signing acknowledged</w:t>
      </w:r>
      <w:r>
        <w:t xml:space="preserve"> — Recommended (SHOULD)</w:t>
      </w:r>
    </w:p>
    <w:p>
      <w:pPr>
        <w:spacing w:before="0" w:after="120"/>
        <w:ind w:left="540"/>
      </w:pPr>
      <w:r>
        <w:t xml:space="preserve">Look for the worker's acknowledgement of when the covenant was signed relative to the start of employment and what was exchanged for it. No staged Hawaii statute conditions enforceability on a particular consideration form, but a clean record of timing and exchange is cheap evidence if procedural fairness is ever contested — and it documents the legitimate purpose the covenant will need to show.</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Hawaii statute demands it, but the reasonableness analysis weighs the hardship the restraint places on the worker — and a documented opportunity to take the agreement to a lawyer before signing is low-cost evidence that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protection should last as long as secrecy does — federal law keys the right to continued secrecy, and Hawaii's own statutory covenant category lets the restraint run after termination for whatever time is reasonably necessary to protect the employer. A fixed expiry on trade-secret confidentiality quietly forfeits protection the law would otherwise keep alive, and weakens the one interest Hawaii most reliably credits.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material lengthens the practical restraint the antitrust framework will weigh, and the two-track structure — perpetual for trade secrets, finite for everything else — keeps each obligation matched to the interest that justifies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Hawaii: omit the immunity notice and the employer forfeits exemplary damages and attorney fees in a later federal trade-secret suit against the worker. That forfeiture stings more here than in most agreements, because the trade-secret covenant is the centerpiece of Hawaii drafting — the one restraint the statute always preserves.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Hawaii's trade-secret act displaces overlapping tort remedies but expressly preserves contractual ones — so the contract paper trail of what left and what came back is the record an employer will actually litigate on, whether the claim sounds in misappropriation or in breach.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in Hawaii a clause with two separate failure modes. As a restraint of trade it needs a legitimate ancillary purpose of its own — workforce stability does not prove itself — and for an employee of a technology business the statute voids it outright, since the prohibition on soliciting the employer's employees is precisely the nonsolicit clause the ban defines. Confirm both gates before reading the class and period.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most defensible covenant in a Hawaii agreement when tied to real customer relationships — but it is still analyzed as a restraint of trade requiring a legitimate ancillary purpose, and enforcement turns on proof that the worker actively initiated the contact. Keep it bound to the Covered Customers class and the Restricted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meaningfully harsher restraint than a non-solicit, and one that reaches the passive conduct Hawaii's solicitation standard deliberately excludes. Treat its inclusion as a decision that needs its own legitimate-purpose justification, not as a stronger flavor of the same clause.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Hawaii only on the antitrust statute's terms. Before evaluating any term of the clause, route the review through the Hawaii gates at the end of this checklist: the technology-business ban first, then the legitimate-ancillary-purpose screen — which a covenant can fail even after satisfying every reasonableness factor — and only then duration, territory, and breadth.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In a state whose courts refuse to credit competition-blocking as a purpose, a named list is the cleanest way to show the restraint protects a specific interest against specific rivals rather than fencing the market.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adds hardship and anticompetitive effect with no protected interest gaining anything.</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Hawaii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staged Hawaii sources contain no physician-specific covenant statute, so the dedicated clause does honest work by saying what governs: a physician covenant passes through the same restraint-of-trade framework as any other — legitimate ancillary purpose, no substantial lessening of competition, reasonable scope. A clause that states that treatment expressly keeps the question reviewable instead of leaving the physician to assume some special regime exists.</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test it against Hawaii's restraint-of-trade screen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 and in Hawaii one with real downside. Warning a new employer off a worker based on a covenant that fails the restraint-of-trade screen, or that the technology-business ban voids, invites more than a tortious-interference dispute: the statute separately outlaws unfair methods of competition and lets any person sue on that theory. If the clause appears, condition any outreach on a covenant that actually survives the gates in this checklist.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Hawaii question. The staged authorities do not resolve whether a covenant period pauses during breach or litigation, and an extension-on-breach clause lengthens the actual restraint, so it has to be justified under the same ancillary-purpose and reasonable-duration limits that govern the covenant itself. Do not assume a court will enforce it.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Note what Hawaii adds underneath: chapter 480 itself authorizes injunction proceedings for a person injured by conduct the chapter forbids, with fees and costs awarded on a plaintiff's decree — statutory machinery that runs in both directions in a covenant dispute. </w:t>
      </w:r>
    </w:p>
    <w:p>
      <w:pPr>
        <w:keepNext/>
        <w:spacing w:before="200" w:after="80"/>
      </w:pPr>
      <w:r>
        <w:rPr>
          <w:rFonts w:ascii="Segoe UI Symbol" w:hAnsi="Segoe UI Symbol"/>
        </w:rPr>
        <w:t xml:space="preserve">☐  </w:t>
      </w:r>
      <w:r>
        <w:rPr>
          <w:b/>
        </w:rPr>
        <w:t xml:space="preserve">13.2  </w:t>
      </w:r>
      <w:r>
        <w:rPr>
          <w:b/>
        </w:rPr>
        <w:t xml:space="preserve">Attorney fees and statutory exposure</w:t>
      </w:r>
      <w:r>
        <w:t xml:space="preserve"> — Optional (MAY)</w:t>
      </w:r>
    </w:p>
    <w:p>
      <w:pPr>
        <w:spacing w:before="0" w:after="120"/>
        <w:ind w:left="540"/>
      </w:pPr>
      <w:r>
        <w:t xml:space="preserve">Contractual fee-shifting remains a commercial choice, and the American Rule applies if the agreement is silent. But weigh the clause against the statutory backdrop the parties cannot draft around: a person injured in business or property by anything the chapter forbids recovers the greater of $1,000 or threefold damages plus reasonable attorney fees and costs on a plaintiff's judgment, and fees on an injunction decree. Because the covenants in this agreement are themselves analyzed as restraints of trade, a covenant that fails the framework is not just unenforceable — it is potential fee-bearing, treble-damages exposure for the party pressing it.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Minimum scope, not court rescue</w:t>
      </w:r>
      <w:r>
        <w:t xml:space="preserve"> — Avoid (SHOULD NOT)</w:t>
      </w:r>
    </w:p>
    <w:p>
      <w:pPr>
        <w:spacing w:before="0" w:after="120"/>
        <w:ind w:left="540"/>
      </w:pPr>
      <w:r>
        <w:t xml:space="preserve">Read the severability clause as architecture, not insurance. The staged Hawaii authorities supply no rule that a court will rewrite an overbroad covenant into an enforceable one: the closest example trimmed an injunction back to the covenant's own county limit — correcting enforcement to the contract's terms, not rewriting the contract — and the covenant that lacked a legitimate ancillary purpose failed outright rather than being saved by narrower wording. Expect each restriction to be drafted at the minimum scope its protected interest supports, in separable tiers a court can enforce or strike cleanly, rather than a broad clause paired with a savings provision that asks the court to do the tailoring.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In Hawaii the discipline has a statutory shape: the trade-secret covenant may run after termination for whatever time is reasonably necessary, while every other restraint needs its own bounded, justified period — bundling them in one undifferentiated survival clause obscures exactly the duration analysis the antitrust framework performs.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successor inherits the Hawaii analysis along with the covenant: the legitimate ancillary purpose is measured against the enforcing business's actual interests, and a successor in a different line of business — say, one that now derives most of its income from software development — can change which statutory rules apply at all.</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For a Hawaii workforce the honest selection is Hawaii law and a Hawaii forum: the covenant was presumably drafted against the chapter 480 framework and the technology-business ban, and a foreign-law clause papering a Hawaii employment relationship signals a form that was never localized — and tees up a choice-of-law fight on top of the merits.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Hawaii-flavored check: the merger clause fixes the four corners the restraint-of-trade analysis will read, so confirm the amendment mechanics cannot silently widen a covenant — every broadening amendment is a new restraint that must clear the same ancillary-purpose screen the original did.</w:t>
      </w:r>
    </w:p>
    <w:p>
      <w:pPr>
        <w:keepNext/>
        <w:spacing w:before="360" w:after="160"/>
      </w:pPr>
      <w:r>
        <w:rPr>
          <w:b/>
          <w:sz w:val="28"/>
          <w:szCs w:val="28"/>
        </w:rPr>
        <w:t xml:space="preserve">19. Hawaii gates (antitrust statute and covenant categories)</w:t>
      </w:r>
    </w:p>
    <w:p>
      <w:pPr>
        <w:spacing w:before="0" w:after="120"/>
      </w:pPr>
      <w:r>
        <w:t xml:space="preserve">The four items below exist only on this Hawaii page: the legitimate-purpose screen every covenant must pass, the flat ban for technology-business employees, the statutory shape of the trade-secret covenant, and the reasonable-area-and-time limit on sale-of-business covenants.</w:t>
      </w:r>
    </w:p>
    <w:p>
      <w:pPr>
        <w:keepNext/>
        <w:spacing w:before="200" w:after="80"/>
      </w:pPr>
      <w:r>
        <w:rPr>
          <w:rFonts w:ascii="Segoe UI Symbol" w:hAnsi="Segoe UI Symbol"/>
        </w:rPr>
        <w:t xml:space="preserve">☐  </w:t>
      </w:r>
      <w:r>
        <w:rPr>
          <w:b/>
        </w:rPr>
        <w:t xml:space="preserve">19.1  </w:t>
      </w:r>
      <w:r>
        <w:rPr>
          <w:b/>
        </w:rPr>
        <w:t xml:space="preserve">Legitimate purpose behind every restraint</w:t>
      </w:r>
      <w:r>
        <w:t xml:space="preserve"> — Required (MUST)</w:t>
      </w:r>
    </w:p>
    <w:p>
      <w:pPr>
        <w:spacing w:before="0" w:after="120"/>
        <w:ind w:left="540"/>
      </w:pPr>
      <w:r>
        <w:t xml:space="preserve">Start from the statute's baseline: a contract in restraint of trade or commerce in the State is illegal, and a restrictive covenant becomes lawful only when it is ancillary to a legitimate purpose not violative of the chapter and its effect is not substantially to lessen competition or tend toward monopoly. The screen sits on top of reasonableness, not inside it — a covenant can satisfy every reasonableness factor and still fail for want of a legitimate ancillary purpose, and the purpose cannot be the prevention of competition itself. For each restraint in the agreement, identify the specific protected interest it serves and confirm the restraint is no broader than that interest requires. </w:t>
      </w:r>
    </w:p>
    <w:p>
      <w:pPr>
        <w:keepNext/>
        <w:spacing w:before="200" w:after="80"/>
      </w:pPr>
      <w:r>
        <w:rPr>
          <w:rFonts w:ascii="Segoe UI Symbol" w:hAnsi="Segoe UI Symbol"/>
        </w:rPr>
        <w:t xml:space="preserve">☐  </w:t>
      </w:r>
      <w:r>
        <w:rPr>
          <w:b/>
        </w:rPr>
        <w:t xml:space="preserve">19.2  </w:t>
      </w:r>
      <w:r>
        <w:rPr>
          <w:b/>
        </w:rPr>
        <w:t xml:space="preserve">No non-competes or employee non-solicits for technology-business employees</w:t>
      </w:r>
      <w:r>
        <w:t xml:space="preserve"> — Prohibited (MUST NOT)</w:t>
      </w:r>
    </w:p>
    <w:p>
      <w:pPr>
        <w:spacing w:before="0" w:after="120"/>
        <w:ind w:left="540"/>
      </w:pPr>
      <w:r>
        <w:t xml:space="preserve">If the employer is a technology business — a trade or business deriving the majority of its gross income from products or services resulting from software development or information technology development, excluding the broadcast industry and certain franchised telecommunications carriers — the employment contract cannot contain a noncompete clause or a nonsolicit clause: the clause is void and of no force and effect. The statute defines both devices for this rule (a geographic-and-time work prohibition after leaving; a prohibition on soliciting the employer's employees after leaving) and preserves exactly one path, the trade-secret covenant. Resolve the employer's revenue mix first; if the ban applies, strike the clauses rather than tailor them. </w:t>
      </w:r>
    </w:p>
    <w:p>
      <w:pPr>
        <w:keepNext/>
        <w:spacing w:before="200" w:after="80"/>
      </w:pPr>
      <w:r>
        <w:rPr>
          <w:rFonts w:ascii="Segoe UI Symbol" w:hAnsi="Segoe UI Symbol"/>
        </w:rPr>
        <w:t xml:space="preserve">☐  </w:t>
      </w:r>
      <w:r>
        <w:rPr>
          <w:b/>
        </w:rPr>
        <w:t xml:space="preserve">19.3  </w:t>
      </w:r>
      <w:r>
        <w:rPr>
          <w:b/>
        </w:rPr>
        <w:t xml:space="preserve">Trade-secret covenant within the statutory shape</w:t>
      </w:r>
      <w:r>
        <w:t xml:space="preserve"> — Required (MUST)</w:t>
      </w:r>
    </w:p>
    <w:p>
      <w:pPr>
        <w:spacing w:before="0" w:after="120"/>
        <w:ind w:left="540"/>
      </w:pPr>
      <w:r>
        <w:t xml:space="preserve">The statutory trade-secret covenant — the workhorse of Hawaii drafting, and the only restraint available for technology-business employees — has a fixed shape: it restricts use of the employer's trade secrets in competition, may run during the relationship or after termination, but only for the time reasonably necessary to protect the employer, and without imposing undue hardship on the worker. Check that the clause protects information rather than market position; a trade-secret label on what operates as a general ban on competing falls back into the illegal-restraint baseline, and the case law rejects confidentiality theories unsupported by evidence of genuinely protected information. </w:t>
      </w:r>
    </w:p>
    <w:p>
      <w:pPr>
        <w:keepNext/>
        <w:spacing w:before="200" w:after="80"/>
      </w:pPr>
      <w:r>
        <w:rPr>
          <w:rFonts w:ascii="Segoe UI Symbol" w:hAnsi="Segoe UI Symbol"/>
        </w:rPr>
        <w:t xml:space="preserve">☐  </w:t>
      </w:r>
      <w:r>
        <w:rPr>
          <w:b/>
        </w:rPr>
        <w:t xml:space="preserve">19.4  </w:t>
      </w:r>
      <w:r>
        <w:rPr>
          <w:b/>
        </w:rPr>
        <w:t xml:space="preserve">Sale covenants limited to reasonable area and time</w:t>
      </w:r>
      <w:r>
        <w:t xml:space="preserve"> — Required (MUST)</w:t>
      </w:r>
    </w:p>
    <w:p>
      <w:pPr>
        <w:spacing w:before="0" w:after="120"/>
        <w:ind w:left="540"/>
      </w:pPr>
      <w:r>
        <w:t xml:space="preserve">A transferor's covenant in connection with the sale of a business is the strongest statutory category, but it carries its limits in its own text: a reasonable area and a reasonable period of time, in connection with the sale, under the same ancillary-purpose and anticompetitive-effect conditions as every other category. Size the covenant to the goodwill and competitive risk actually transferred — a court weighs geographic scope, duration, and breadth, and will find the restraint unreasonable where it exceeds the protection the buyer genuinely needs. </w:t>
      </w:r>
    </w:p>
    <w:p>
      <w:pPr>
        <w:spacing w:before="360" w:after="0"/>
      </w:pPr>
      <w:r>
        <w:rPr>
          <w:color w:val="666666"/>
          <w:sz w:val="16"/>
          <w:szCs w:val="16"/>
        </w:rPr>
        <w:t xml:space="preserve">Steven Obiajulu, J.D. edits this review checklist for Hawaii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