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Illinois</w:t>
      </w:r>
    </w:p>
    <w:p>
      <w:pPr>
        <w:spacing w:before="0" w:after="120"/>
      </w:pPr>
      <w:r>
        <w:rPr>
          <w:i/>
          <w:color w:val="444444"/>
        </w:rPr>
        <w:t xml:space="preserve">A clause-by-clause reviewer checklist for Illinois employee restrictive covenant agreements — confidentiality, non-solicits, non-competes, and non-disparagement under the Illinois Freedom to Work Act (820 ILCS 90), including the earnings thresholds, consideration rule, and 14-day notice gate.</w:t>
      </w:r>
    </w:p>
    <w:p>
      <w:pPr>
        <w:spacing w:before="0" w:after="240"/>
      </w:pPr>
      <w:r>
        <w:rPr>
          <w:color w:val="666666"/>
          <w:sz w:val="18"/>
          <w:szCs w:val="18"/>
        </w:rPr>
        <w:t xml:space="preserve">By Steven Obiajulu, J.D. Last reviewed 2026-06-11. License: CC BY 4.0. https://openagreements.org/checklists/non-compete/us/illinois</w:t>
      </w:r>
    </w:p>
    <w:p>
      <w:pPr>
        <w:keepNext/>
        <w:spacing w:before="360" w:after="160"/>
      </w:pPr>
      <w:r>
        <w:rPr>
          <w:b/>
          <w:sz w:val="28"/>
          <w:szCs w:val="28"/>
        </w:rPr>
        <w:t xml:space="preserve">1. Parties and cover-term identification</w:t>
      </w:r>
    </w:p>
    <w:p>
      <w:pPr>
        <w:spacing w:before="0" w:after="120"/>
      </w:pPr>
      <w:r>
        <w:t xml:space="preserve">Every item below reads the agreement the way an Illinois court would — through the Freedom to Work Act's earnings floors, consideration rule, and 14-day notice gate, then through the totality-of-the-circumstances reasonableness test. For the question-by-question legal analysis behind these items, see the </w:t>
      </w:r>
      <w:r>
        <w:t xml:space="preserve">Illinois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Match the named employer to the entity that actually pays and directs the worker. The Freedom to Work Act puts every statutory duty — the earnings calculation, the consideration, the written notice — on the employer that enters the covenant, and the Attorney General investigates employers, not forms, so an entity mismatch muddies who owed the gates and whether they were met.</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Illinois the date the covenant was entered selects the rules: the Freedom to Work Act governs covenants entered on or after January 1, 2022, the mental-health-professional bar reaches covenants entered after January 1, 2025, and the Workplace Transparency Act forum limits arrive January 1, 2026. An undated instrument leaves all three threshold questions open — and the 14-day notice math has no anchor.</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actual duties, not just a label. Several Illinois carve-outs turn on function: a construction worker is categorically off-limits unless the person primarily performs management, engineering, architectural, design, or sales work or holds ownership, and the broadcaster and agency-nurse bans likewise key to what the worker does. The recorded title is the first exhibit in any carve-out fight.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and scrutinize a non-Illinois selection for an Illinois-based worker. From 2026 the Workplace Transparency Act voids a unilateral clause applying another state's law or requiring an out-of-state venue to the extent it diminishes the employee's rights around an unlawful employment practice — a bounded rule, not a blanket one, but enough to make casual forum-shifting unreliable.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The Freedom to Work Act expressly leaves confidentiality agreements outside its covenant definition, so a clean, bounded definition keeps this protection clear of the earnings floors and notice gate entirely. A definition that sweeps in general skills or whole markets squanders that exclusion — it starts to operate as a restraint on working rather than a restraint on information.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from ordinary confidential information. The Illinois Trade Secrets Act lets a secrecy duty run without time or geographic limits, so the agreement gets perpetual protection for genuine secrets only if the definitions keep the two categories — and their durations — apart.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makes the duration auditable in a state with no statutory maximum: Illinois judges length as part of the totality-of-the-circumstances reasonableness analysis, so every covenant should run on a clock the reviewer can find, compare, and defend in one place.</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Place is one of the factors Illinois weighs when testing a restraint against the protected interest, so tie the territory to where the worker actually built relationships or used confidential information. A statewide or nationwide footprint for a locally scoped role hands the employee the overbreadth argument.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dealt with during a stated look-back window. The Illinois analysis asks about the employee's actual exposure to customer relationships and how durable those relationships are — a class defined by the company's whole book of business answers a question nobody asked and invites the void-as-overbroad response.</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Limit the no-poach class to colleagues the departing worker actually worked with or supervised. An employee non-solicit is a covenant not to solicit under the Act — it carries its own earnings floor and the same consideration and notice gates — so breadth here buys statutory exposure, not extra protection.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Spell out the interests the covenants serve. An Illinois covenant is illegal and void unless it is no greater than required to protect a legitimate business interest of the employer, so this definition is the yardstick every restraint in the agreement gets measured against.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actual competing activity, narrowly. Illinois courts have refused to repair a restrictive covenant drafted patently broader than the employer's real interest — a sprawling competitive-business definition gambles the clause on a judicial rescue the case law warns against.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the passive-holdings carve-out below a stated threshold. A clause that technically bars index funds and ordinary public shares is facially overbroad, fails the no-greater-than-required condition, and adds undue-hardship ammunition — all for protection no employer needs.</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drafting mechanic — many agreements state the carve-out inline without a capitalized term. If the defined term exists, confirm its ownership threshold matches the number the operative carve-out actually uses.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solicitation means initiating contact, accepting business, or both. In Illinois the definition decides which statutory lane the clause occupies: a true non-solicit rides the lower earnings floor, while language reaching all post-employment dealing edges toward a covenant not to compete and the stricter gates that come with it.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Confirm the trigger covers resignation, dismissal, furlough, and expiration of a fixed term — and that the agreement distinguishes among them. How the relationship ended matters here: a covenant asserted after a pandemic-style layoff is unenforceable unless the employer pays base salary, less subsequent earnings, through the restricted period.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signing date does statutory work in Illinois twice over: the 14-day notice clock is measured against it, and the two-year continued-employment route to adequate consideration starts running from it. A recital fixing when the covenant was furnished, signed, and supported preserves the facts both gates will be tested on. </w:t>
      </w:r>
    </w:p>
    <w:p>
      <w:pPr>
        <w:keepNext/>
        <w:spacing w:before="200" w:after="80"/>
      </w:pPr>
      <w:r>
        <w:rPr>
          <w:rFonts w:ascii="Segoe UI Symbol" w:hAnsi="Segoe UI Symbol"/>
        </w:rPr>
        <w:t xml:space="preserve">☐  </w:t>
      </w:r>
      <w:r>
        <w:rPr>
          <w:b/>
        </w:rPr>
        <w:t xml:space="preserve">3.2  </w:t>
      </w:r>
      <w:r>
        <w:rPr>
          <w:b/>
        </w:rPr>
        <w:t xml:space="preserve">Counsel advisal and 14-day review window</w:t>
      </w:r>
      <w:r>
        <w:t xml:space="preserve"> — Required (MUST)</w:t>
      </w:r>
    </w:p>
    <w:p>
      <w:pPr>
        <w:spacing w:before="0" w:after="120"/>
        <w:ind w:left="540"/>
      </w:pPr>
      <w:r>
        <w:t xml:space="preserve">Verify two things on the face of the document: a written statement advising the employee to consult an attorney before signing, and evidence the employee received the covenant at least 14 calendar days before starting work or was given at least 14 calendar days to review it. Either omission voids the covenant outright, and an early signature does not excuse the employer from extending the full window — so the safest agreements recite the advisal and the date the covenant was delivered.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Federal law defines the right that way, and Illinois statute says so expressly — a secrecy duty is not void for lacking durational or geographic limits — so a fixed end date on trade-secret protection surrenders statutory coverage the drafter already had.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duty. A perpetual restraint over non-secret material reads as a working restriction wearing a confidentiality label — the kind of breadth that pulls a clause from the Act's confidentiality exclusion back into its covenant gates.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requires the immunity notice in Illinois agreements like everywhere else, and trade-secret claims matter more here than in most states — they are the main protection the Freedom to Work Act leaves ungated — so forfeiting exemplary damages and fees by omitting the notice is an unforced error twice over.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Confirm confidentiality and non-disparagement language yields to federally protected workplace speech — wages, hours, and working conditions. The Board strikes overbroad restrictions regardless of state law, and an Illinois agreement already navigating statutory gates does not need a federal labor-law defect stacked on top.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Verify the carve-out for disclosure required by law, court order, or a government investigation, with notice to the employer where lawful. Worth a closer look in Illinois given active Attorney General oversight of covenant practices — the agreement should never read as discouraging cooperation with an official inquiry.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Because Illinois pushes employers toward confidentiality and trade-secret tools whenever a covenant is risky or unavailable, the exit certification is often the cleanest proof those information protections were taken seriously before anything walked out the door.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but in Illinois never free. An employee non-solicit is a covenant not to solicit under the Act, so the $45,000 earnings floor, the consideration rule, and the 14-day notice gate all apply to it just as they do to a non-compete. Confirm the clause is scoped to the defined Covered Employees class and runs on the Restricted Period.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present, confirm it reaches only Covered Customers for the Restricted Period — and that the worker clears the non-solicit earnings floor. The clause earns its keep through the customer-relationship facts the Illinois totality test cares about: contact, durability, and goodwill the worker personally carried.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meaningful step past solicitation. In Illinois that breadth invites a court to treat the clause as a restraint on working rather than a non-solicit, with the stricter non-compete gates and the void-unless-no-greater-than-required condition waiting on the other side of that classification.</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An Illinois non-compete must clear every statutory gate — earnings floor, adequate consideration, written counsel advisal with the 14-day window — and then survive the five void-unless conditions and the reasonableness analysis. If this clause appears, route the review through the Illinois statutory-gate items at the end of this checklist before weighing anything else about it.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A named-competitor list is high-value drafting in Illinois because of how the reformation factors run: courts deciding whether to save a covenant weigh the fairness of the restraints as originally written and whether the original draft was a good-faith effort to protect a real interest. A covenant scoped to actual competitors is that good faith made visible.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runs on the shared Restricted Period. Investment language broad enough to restrain how the worker earns a living drags the clause toward the non-compete definition — and the $75,000 floor and notice gate that travel with it.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inclusion with a stated term — the Freedom to Work Act does not regulate it, so the constraints are federal. Check that truthful testimony, statements to government agencies, and protected workplace speech sit outside the clause, because the Board treats overbroad non-disparagement as unlawful no matter which state supplied the contract.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Illinois has no blanket physician non-compete ban, but the dedicated clause should map the health-care rules that do exist: covenants entered after January 1, 2025 are unenforceable against licensed mental-health professionals serving veterans and first responders where enforcement would raise the cost or difficulty of care, and nurse agencies cannot bind temporarily placed nurses or certified nurse aides at all. For other clinicians, the earnings floors and reasonableness analysis still apply with full force.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In Illinois it doubles as an intake screen: a prior covenant the worker signed below the earnings floors or without the 14-day notice may simply be void, and knowing which kind of legacy restraint is in play changes how a hiring employer responds to a demand letter.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condition disclosure on a reasonable belief of breach and keep the message factual — asserting a covenant that is void under the Freedom to Work Act invites a tortious-interference claim, and a routine practice of waving void covenants at new employers is the kind of pattern the Attorney General is empowered to pursue.</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the answer as unsettled here. No Freedom to Work Act provision or decision under it blesses tolling, an extension stacked onto the stated term feeds the duration side of the reasonableness analysis, and a court warned away from extensive rewriting may decline to trim an open-ended extension rather than fix it. A defined, modest fixed term is the conservative review posture.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The Freedom to Work Act supplies no presumption of irreparable injury, so the contractual recital — plus the legitimate-business-interest facts gathered elsewhere in the agreement — is what the employer brings to the emergency-relief hearing.</w:t>
      </w:r>
    </w:p>
    <w:p>
      <w:pPr>
        <w:keepNext/>
        <w:spacing w:before="200" w:after="80"/>
      </w:pPr>
      <w:r>
        <w:rPr>
          <w:rFonts w:ascii="Segoe UI Symbol" w:hAnsi="Segoe UI Symbol"/>
        </w:rPr>
        <w:t xml:space="preserve">☐  </w:t>
      </w:r>
      <w:r>
        <w:rPr>
          <w:b/>
        </w:rPr>
        <w:t xml:space="preserve">13.2  </w:t>
      </w:r>
      <w:r>
        <w:rPr>
          <w:b/>
        </w:rPr>
        <w:t xml:space="preserve">Fee clause matches employee fee-shifting</w:t>
      </w:r>
      <w:r>
        <w:t xml:space="preserve"> — Recommended (SHOULD)</w:t>
      </w:r>
    </w:p>
    <w:p>
      <w:pPr>
        <w:spacing w:before="0" w:after="120"/>
        <w:ind w:left="540"/>
      </w:pPr>
      <w:r>
        <w:t xml:space="preserve">Read any attorney-fees clause against the statutory baseline: when an employer sues or arbitrates to enforce a covenant and the employee prevails, the employee recovers all costs and reasonable fees no matter what the contract says. A one-way employer-favoring fee clause misstates that baseline, and overreach has a public-enforcement price — the Attorney General can seek civil penalties for pattern-and-practice violations and has extracted settlements over covenants imposed on hourly workers.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Reformation authorized, not relied on</w:t>
      </w:r>
      <w:r>
        <w:t xml:space="preserve"> — Recommended (SHOULD)</w:t>
      </w:r>
    </w:p>
    <w:p>
      <w:pPr>
        <w:spacing w:before="0" w:after="120"/>
        <w:ind w:left="540"/>
      </w:pPr>
      <w:r>
        <w:t xml:space="preserve">Two checks pull in opposite directions here, and both matter. The clause should authorize judicial modification, because whether the parties included such a clause is one of the factors an Illinois court weighs when deciding to reform rather than void. But the surrounding covenants must read as if no rescue exists: the statute warns that extensive judicial reformation may offend public policy, and the appellate court has refused to repair a patently overbroad restraint. Authorization is a tiebreaker for a close case, not a license to overdraft.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ordinary confidentiality, and a deliberate Restricted Period for each restraint. Bundled survival language is how an unexamined duration slips into the totality analysis, where it weakens the reasonableness case for every covenant sharing the clause.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In Illinois, remember what a successor inherits: the statutory gates were tested when the covenant was entered, so an acquirer relying on a covenant signed below the then-current earnings floor or without the 14-day notice inherits a void instrument, not a dormant one.</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Governing law, venue, and process should point the same direction — and for an Illinois worker, test any out-of-state selection twice. From 2026, a unilateral clause applying non-Illinois law or requiring an out-of-state venue is void to the extent it diminishes the employee's rights tied to an unlawful employment practice; where that bounded rule does not reach, ordinary conflict-of-laws and public-policy analysis still can. A mutual, separately bargained clause stands on firmer ground than boilerplate.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an Illinois sting: an integration clause cuts the covenant off from consideration described anywhere else. The appellate court refused to count an offer-letter signing bonus toward a later integrated restrictive covenant that never mentioned it — so when reviewing the entire-agreement clause, confirm the consideration story survives inside the four corners it creates. </w:t>
      </w:r>
    </w:p>
    <w:p>
      <w:pPr>
        <w:keepNext/>
        <w:spacing w:before="360" w:after="160"/>
      </w:pPr>
      <w:r>
        <w:rPr>
          <w:b/>
          <w:sz w:val="28"/>
          <w:szCs w:val="28"/>
        </w:rPr>
        <w:t xml:space="preserve">19. Illinois statutory gates (820 ILCS 90)</w:t>
      </w:r>
    </w:p>
    <w:p>
      <w:pPr>
        <w:spacing w:before="0" w:after="120"/>
      </w:pPr>
      <w:r>
        <w:t xml:space="preserve">The six items below exist only on this Illinois page: they implement the Freedom to Work Act's earnings floors, consideration and notice gates, totality-test recital, categorical exclusions, and layoff pay condition — requirements with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Non-compete earnings floor</w:t>
      </w:r>
      <w:r>
        <w:t xml:space="preserve"> — Required (MUST)</w:t>
      </w:r>
    </w:p>
    <w:p>
      <w:pPr>
        <w:spacing w:before="0" w:after="120"/>
        <w:ind w:left="540"/>
      </w:pPr>
      <w:r>
        <w:t xml:space="preserve">Confirm the worker's actual or expected annualized earnings exceed $75,000 before reading the non-compete any further — below the floor the covenant is void however narrow it is. Count everything the Act counts: salary, bonuses, commissions, and elective deferrals such as 401(k) and HSA contributions. The floor steps up to $80,000 on January 1, 2027, then $85,000 in 2032 and $90,000 in 2037, so a covenant reviewed near a step date needs the schedule checked, not just the current number. </w:t>
      </w:r>
    </w:p>
    <w:p>
      <w:pPr>
        <w:keepNext/>
        <w:spacing w:before="200" w:after="80"/>
      </w:pPr>
      <w:r>
        <w:rPr>
          <w:rFonts w:ascii="Segoe UI Symbol" w:hAnsi="Segoe UI Symbol"/>
        </w:rPr>
        <w:t xml:space="preserve">☐  </w:t>
      </w:r>
      <w:r>
        <w:rPr>
          <w:b/>
        </w:rPr>
        <w:t xml:space="preserve">19.2  </w:t>
      </w:r>
      <w:r>
        <w:rPr>
          <w:b/>
        </w:rPr>
        <w:t xml:space="preserve">Non-solicit earnings floor</w:t>
      </w:r>
      <w:r>
        <w:t xml:space="preserve"> — Required (MUST)</w:t>
      </w:r>
    </w:p>
    <w:p>
      <w:pPr>
        <w:spacing w:before="0" w:after="120"/>
        <w:ind w:left="540"/>
      </w:pPr>
      <w:r>
        <w:t xml:space="preserve">Run the same check for every non-solicit — employee or customer — against the separate $45,000 floor, which climbs to $47,500 in 2027, $50,000 in 2032, and $52,500 in 2037. The two floors are independent: a worker earning between them can be bound by a non-solicit but not a non-compete, so review each covenant against its own threshold rather than clearing the agreement wholesale. </w:t>
      </w:r>
    </w:p>
    <w:p>
      <w:pPr>
        <w:keepNext/>
        <w:spacing w:before="200" w:after="80"/>
      </w:pPr>
      <w:r>
        <w:rPr>
          <w:rFonts w:ascii="Segoe UI Symbol" w:hAnsi="Segoe UI Symbol"/>
        </w:rPr>
        <w:t xml:space="preserve">☐  </w:t>
      </w:r>
      <w:r>
        <w:rPr>
          <w:b/>
        </w:rPr>
        <w:t xml:space="preserve">19.3  </w:t>
      </w:r>
      <w:r>
        <w:rPr>
          <w:b/>
        </w:rPr>
        <w:t xml:space="preserve">Consideration recited and tied to the covenant</w:t>
      </w:r>
      <w:r>
        <w:t xml:space="preserve"> — Required (MUST)</w:t>
      </w:r>
    </w:p>
    <w:p>
      <w:pPr>
        <w:spacing w:before="0" w:after="120"/>
        <w:ind w:left="540"/>
      </w:pPr>
      <w:r>
        <w:t xml:space="preserve">Adequate consideration means two years of employment after signing or professional or financial benefits adequate to support the restraint — and since no employer controls whether the worker stays two years, the recited benefit is the only route the drafter can guarantee. Then check the tie: a bonus or grant described in an offer letter, handbook, or side email does not carry an integrated covenant that never identifies it as the exchange. The covenant document itself should name the benefit and say it was given for the covenant. </w:t>
      </w:r>
    </w:p>
    <w:p>
      <w:pPr>
        <w:keepNext/>
        <w:spacing w:before="200" w:after="80"/>
      </w:pPr>
      <w:r>
        <w:rPr>
          <w:rFonts w:ascii="Segoe UI Symbol" w:hAnsi="Segoe UI Symbol"/>
        </w:rPr>
        <w:t xml:space="preserve">☐  </w:t>
      </w:r>
      <w:r>
        <w:rPr>
          <w:b/>
        </w:rPr>
        <w:t xml:space="preserve">19.4  </w:t>
      </w:r>
      <w:r>
        <w:rPr>
          <w:b/>
        </w:rPr>
        <w:t xml:space="preserve">Business interest recited and matched to scope</w:t>
      </w:r>
      <w:r>
        <w:t xml:space="preserve"> — Recommended (SHOULD)</w:t>
      </w:r>
    </w:p>
    <w:p>
      <w:pPr>
        <w:spacing w:before="0" w:after="120"/>
        <w:ind w:left="540"/>
      </w:pPr>
      <w:r>
        <w:t xml:space="preserve">Look for recitals that name the interest each covenant protects and connect the restraint's time, place, and scope to it. Illinois judges the interest on the totality of the facts and circumstances — customer-relationship exposure, how durable those relationships are, confidential-information access, and the breadth of the restriction — with no single factor controlling, so an agreement that assembles those facts on its face argues its own reasonableness before anyone files anything. </w:t>
      </w:r>
    </w:p>
    <w:p>
      <w:pPr>
        <w:keepNext/>
        <w:spacing w:before="200" w:after="80"/>
      </w:pPr>
      <w:r>
        <w:rPr>
          <w:rFonts w:ascii="Segoe UI Symbol" w:hAnsi="Segoe UI Symbol"/>
        </w:rPr>
        <w:t xml:space="preserve">☐  </w:t>
      </w:r>
      <w:r>
        <w:rPr>
          <w:b/>
        </w:rPr>
        <w:t xml:space="preserve">19.5  </w:t>
      </w:r>
      <w:r>
        <w:rPr>
          <w:b/>
        </w:rPr>
        <w:t xml:space="preserve">No covenants for protected worker categories</w:t>
      </w:r>
      <w:r>
        <w:t xml:space="preserve"> — Prohibited (MUST NOT)</w:t>
      </w:r>
    </w:p>
    <w:p>
      <w:pPr>
        <w:spacing w:before="0" w:after="120"/>
        <w:ind w:left="540"/>
      </w:pPr>
      <w:r>
        <w:t xml:space="preserve">The agreement must not place a covenant on a worker Illinois has put off-limits, because no drafting cures these: construction workers outside the management, design, sales, and owner carve-out; broadcasters, for post-employment restraints; nurses and certified nurse aides placed by an agency on a temporary basis; public-sector workers under a covered collective bargaining agreement, for non-competes; and, conditionally, mental-health professionals serving veterans and first responders under covenants entered after January 1, 2025. Check industry and role before scope — these bars sit upstream of every reasonableness question. </w:t>
      </w:r>
    </w:p>
    <w:p>
      <w:pPr>
        <w:keepNext/>
        <w:spacing w:before="200" w:after="80"/>
      </w:pPr>
      <w:r>
        <w:rPr>
          <w:rFonts w:ascii="Segoe UI Symbol" w:hAnsi="Segoe UI Symbol"/>
        </w:rPr>
        <w:t xml:space="preserve">☐  </w:t>
      </w:r>
      <w:r>
        <w:rPr>
          <w:b/>
        </w:rPr>
        <w:t xml:space="preserve">19.6  </w:t>
      </w:r>
      <w:r>
        <w:rPr>
          <w:b/>
        </w:rPr>
        <w:t xml:space="preserve">Layoff pay condition</w:t>
      </w:r>
      <w:r>
        <w:t xml:space="preserve"> — Required (MUST)</w:t>
      </w:r>
    </w:p>
    <w:p>
      <w:pPr>
        <w:spacing w:before="0" w:after="120"/>
        <w:ind w:left="540"/>
      </w:pPr>
      <w:r>
        <w:t xml:space="preserve">If the worker was terminated, furloughed, or laid off in pandemic-related or similar business circumstances, enforcement requires paying base-salary-equivalent compensation through the restricted period, reduced by what the worker earns elsewhere during it. An agreement meant to survive a layoff should say who pays, on what schedule, and how outside earnings are reported and offset — a covenant asserted after such a layoff without the pay component fails as to that worker. </w:t>
      </w:r>
    </w:p>
    <w:p>
      <w:pPr>
        <w:spacing w:before="360" w:after="0"/>
      </w:pPr>
      <w:r>
        <w:rPr>
          <w:color w:val="666666"/>
          <w:sz w:val="16"/>
          <w:szCs w:val="16"/>
        </w:rPr>
        <w:t xml:space="preserve">Steven Obiajulu, J.D. edits this review checklist for Illinois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