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Iowa</w:t>
      </w:r>
    </w:p>
    <w:p>
      <w:pPr>
        <w:spacing w:before="0" w:after="120"/>
      </w:pPr>
      <w:r>
        <w:rPr>
          <w:i/>
          <w:color w:val="444444"/>
        </w:rPr>
        <w:t xml:space="preserve">A clause-by-clause reviewer checklist for Iowa employee restrictive covenant agreements — confidentiality, non-solicits, non-competes, and non-disparagement under the Revere Transducers three-prong reasonableness test and Iowa's narrow occupation statutes.</w:t>
      </w:r>
    </w:p>
    <w:p>
      <w:pPr>
        <w:spacing w:before="0" w:after="240"/>
      </w:pPr>
      <w:r>
        <w:rPr>
          <w:color w:val="666666"/>
          <w:sz w:val="18"/>
          <w:szCs w:val="18"/>
        </w:rPr>
        <w:t xml:space="preserve">By Steven Obiajulu, J.D. Last reviewed 2026-06-12. License: CC BY 4.0. https://openagreements.org/checklists/non-compete/us/iowa</w:t>
      </w:r>
    </w:p>
    <w:p>
      <w:pPr>
        <w:keepNext/>
        <w:spacing w:before="360" w:after="160"/>
      </w:pPr>
      <w:r>
        <w:rPr>
          <w:b/>
          <w:sz w:val="28"/>
          <w:szCs w:val="28"/>
        </w:rPr>
        <w:t xml:space="preserve">1. Parties and cover-term identification</w:t>
      </w:r>
    </w:p>
    <w:p>
      <w:pPr>
        <w:spacing w:before="0" w:after="120"/>
      </w:pPr>
      <w:r>
        <w:t xml:space="preserve">Review every item below the way an Iowa court would: there is no general non-compete statute, so each restraint stands or falls on a three-prong reasonableness test — is it reasonably necessary to protect the employer, is it unreasonably restrictive of the worker, does it prejudice the public — with the employer carrying the burden and the court willing to trim an overbroad covenant rather than void it. A handful of occupation and sector statutes cut in before any balancing starts. For the question-by-question legal analysis behind these items, see the </w:t>
      </w:r>
      <w:r>
        <w:t xml:space="preserve">Iowa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relationship. Iowa's narrow statutes attach by who is contracting, not just what the clause says: a health-care employment agency, a franchisor, and the University of Iowa Hospitals and Clinics each sit under their own rule, so a covenant papered through a parent or staffing affiliate can obscure which regime governs.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and every covenant clock that runs from it. The date also feeds the statutory gates: the 2026 UIHC rule reaches listed clinical contracts entered into, extended, or renewed on or after the effective date of the Act, while the mental-health statute voids contrary provisions whenever the agreement was signed — an undated instrument leaves the reviewer guessing on both.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Iowa the worker's role selects the rulebook before the balancing starts: licensed mental health professionals, health-care staffing agency workers, and the six UIHC clinical roles each trigger a statute, and the title also shapes the common-law analysis — the nature of the restrained occupation is one of the factors courts weigh. Record the title and the actual duties.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Iowa's three-prong test, its employer-side burden, and its occupation statutes or against some other body of law —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can genuinely call its own. Iowa draws a hard line at the worker's own competence: a former employee cannot be precluded from using the skill and general knowledge gained through experience or instruction on the job, so a definition that sweeps in everything the worker ever learned reads as overreach rather than a protectable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 Iowa's trade-secret act: independent economic value from secrecy plus efforts that are reasonable under the circumstances to maintain secrecy. A definition aligned with chapter 550 anchors the strongest protectable interest available to support the covenants and keeps the statutory remedies — injunction, damages, fees — within reach.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Iowa offers no statutory safe harbor — duration is weighed case by case under the three-prong test, and the favorable authority involves modest periods justified by real customer relationships, such as a one-year restriction that left the worker free to practice his profession elsewhere. The longer the period, the more record the employer needs.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worker actually worked. Iowa's reformation cases show exactly how a court re-draws the line: a two-county restraint was cut down to the six townships the employee had served, because protecting territory the worker never touched exceeded what the employer needed. Draft to the worked footprint and the clause will not need that surgery.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material contact with during a stated look-back window. Customer proximity is the first factor Iowa courts weigh when testing a covenant, so a class built on actual relationships does the persuading for you — a market-wide class built on aspiration does the opposite.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Iowa statute addresses employee non-solicits, so the clause is judged on the same reasonableness balancing as everything else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Iowa weighs: close customer relationships, information peculiar to the employer's business, the nature of the business, and the nature of the restrained occupation. The necessity prong runs through these interests, and a recital that claims only a general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and test the definition against the worker's livelihood. The Iowa authority that upheld a covenant stressed what the clause did not do — it did not stop the veterinarian from practicing his field or even his specialty, only from doing so near the employer's facilities for a year. A definition that swallows the worker's whole trade fails the second prong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adds restriction on the worker the employer cannot tie to any protectable interest — gratuitous breadth that weighs against the covenant under the second prong.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 active outreach, passive acceptance, or both. Iowa analyzes solicitation limits under the same reasonableness framework as full non-competes, so a precise, customer-directed definition is what lets the reviewer argue the clause restrains only the relationships the employer actually needs protected.</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Iowa's reformation cases measure the restricted period from the date employment terminated, so an ambiguous trigger muddies every covenant clock downstream — and hands the court one more piece of text to construe.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recorded</w:t>
      </w:r>
      <w:r>
        <w:t xml:space="preserve"> — Recommended (SHOULD)</w:t>
      </w:r>
    </w:p>
    <w:p>
      <w:pPr>
        <w:spacing w:before="0" w:after="120"/>
        <w:ind w:left="540"/>
      </w:pPr>
      <w:r>
        <w:t xml:space="preserve">Record when the covenant was signed and what the worker received. Iowa's formation rule is forgiving — continuing employment for an indefinite period is sufficient consideration even for a covenant signed after the job began — but formation is all it settles. The same court that found continued employment sufficient still refused enforcement because the worker's gain was grossly disproportionate to the injury enforcement would cause, so read the recital as preserving the formation point, never as settling enforceability.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Iowa statute demands it, but the second prong asks how hard the restraint lands on the worker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Iowa's chapter 550 keys protection to continued secrecy the same way. A fixed expiry on trade-secret confidentiality quietly forfeits protection the employer is entitled to keep, and weakens the strongest interest available to support any accompanying covenant.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met the trade-secret definition is exactly the kind of unbounded restraint Iowa's reasonableness lens treats with suspicion,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Iowa: omit the immunity notice and the employer forfeits exemplary damages and attorney fees in a later federal trade-secret suit against the worker. For an employer whose covenant strategy leans on secrecy — the strongest interest Iowa recognizes —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Iowa the certification feeds straight into chapter 550: an employer who can show what left and what came back is far better positioned to enjoin an actual or threatened misappropriation than one reconstructing the record after the fact.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unregulated in Iowa — it is judged on the same three-prong balancing as every other restraint. Keep it inside the Covered Employees class and the Restricted Period, and remember that a clause drafted as a blanket hiring fence draws the same necessity scrutiny as a full non-compete.</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Iowa: it can protect the relationships the employer actually owns without suppressing the worker's trade. The courts' own narrowing instinct points the same way — restricting a former employee only from the activities and customers he handled is what one leading case called ample protection. Keep it tied to material-contact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pressing on the second and third prongs at once because the customer loses their chosen provider too. Iowa courts ask whether the restricted activities exceed what protection requires, and a no-business clause is where that question bites hardest;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Iowa, but only on the common law's terms: the employer must prove the restraint is reasonably necessary, not unreasonably restrictive of the worker, and not prejudicial to the public. Route the review through the Iowa gates at the end of this checklist first — occupation statutes, then the three-prong test. If the covenant rides a sale of business rather than plain employment, the lens softens: vendor-vendee restraints protecting purchased goodwill are viewed with more indulgence than employer-employee restraints, though they still must be reasonable.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where the employer carries the burden on necessity, a named list is self-proving narrowness — and it leaves the worker free to take the rest of the industry's jobs, which defuses the undue-hardship objection.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defend as reasonably necessary for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Iowa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Iowa has no statewide physician non-compete ban, so the dedicated clause should say precisely which narrow rules do apply. For University of Iowa Hospitals and Clinics employment contracts, the 2026 law reaches six listed clinical roles — including physicians and physician assistants — once a contract is entered into, extended, or renewed on or after the Act's effective date. Licensed mental health professionals sit under a separate, retroactive practice-restraint ban. Both rules are checked item by item in the Iowa gates below; this clause is where the agreement should disclose them.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assess it under Iowa's three-prong lens and any applicable occupation statute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an Iowa court would narrow — or that an occupation statute voids outright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Iowa question. No controlling appellate authority decides that a non-compete period tolls during breach or litigation; the closest doctrine is reformation, which narrows an overbroad restraint rather than adding time back, and the leading application set a fixed two-year period measured from termination. Draft any extension as a defined, reasonable term that can survive the three-prong test on its own,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trade secrets are in play, Iowa's chapter 550 independently authorizes the owner to enjoin actual or threatened misappropriation — a second route to the same relief that does not depend on the covenant surviving review.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and note that in trade-secret litigation Iowa supplies its own fee rules for bad-faith claims and willful, malicious misappropriation, independent of the contract.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Partial enforcement as backstop, not plan</w:t>
      </w:r>
      <w:r>
        <w:t xml:space="preserve"> — Recommended (SHOULD)</w:t>
      </w:r>
    </w:p>
    <w:p>
      <w:pPr>
        <w:spacing w:before="0" w:after="120"/>
        <w:ind w:left="540"/>
      </w:pPr>
      <w:r>
        <w:t xml:space="preserve">A severability and reformation clause works with the grain of Iowa law: the Supreme Court abandoned the old all-or-nothing rule and now enforces overbroad covenants to the extent reasonably necessary to protect legitimate interests, and the courts have actually done the trimming — activities, territory, and duration all narrowed to what the worker really handled. But the rescue has a built-in exception the reviewer must respect: the rule applies unless the facts indicate bad faith, and a covenant inserted for any purpose other than protecting legitimate interests gets no help in equity. An intentionally oppressive draft betting on judicial repair is the one pattern the doctrine excludes.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Iowa the discipline matters because a court enforcing partially will reshape each restraint to its own reasonable scope: a defensible customer non-solicit should not have its fate bundled with a shakier market-wide restraint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Iowa analysis along with the covenant: necessity is re-weighed against the enforcing business's actual customer relationships and footprint, so a restraint sized to the original employer does not automatically fit the buyer.</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This checklist analyzes the Iowa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Iowa trap inside: the UIHC clinical rule reaches contracts entered into, extended, or renewed on or after the Act's effective date, so a routine extension or renewal can pull an older covered covenant into the prohibition — and the mental-health statute voids contrary provisions no matter when the agreement was signed. Review the amendment mechanics so a refresh does not silently change which regime governs. </w:t>
      </w:r>
    </w:p>
    <w:p>
      <w:pPr>
        <w:keepNext/>
        <w:spacing w:before="360" w:after="160"/>
      </w:pPr>
      <w:r>
        <w:rPr>
          <w:b/>
          <w:sz w:val="28"/>
          <w:szCs w:val="28"/>
        </w:rPr>
        <w:t xml:space="preserve">19. Iowa gates (common-law test and occupation statutes)</w:t>
      </w:r>
    </w:p>
    <w:p>
      <w:pPr>
        <w:spacing w:before="0" w:after="120"/>
      </w:pPr>
      <w:r>
        <w:t xml:space="preserve">The seven items below exist only on this Iowa page: the three-prong reasonableness test every covenant must pass with the employer carrying the burden, its application to independent contractors, the narrow statutes that void or condition covenants for mental-health licensees, staffing-agency workers, nonrenewed franchisees, and UIHC clinical roles, and the chapter 550 toolkit that often does the covenant's real work.</w:t>
      </w:r>
    </w:p>
    <w:p>
      <w:pPr>
        <w:keepNext/>
        <w:spacing w:before="200" w:after="80"/>
      </w:pPr>
      <w:r>
        <w:rPr>
          <w:rFonts w:ascii="Segoe UI Symbol" w:hAnsi="Segoe UI Symbol"/>
        </w:rPr>
        <w:t xml:space="preserve">☐  </w:t>
      </w:r>
      <w:r>
        <w:rPr>
          <w:b/>
        </w:rPr>
        <w:t xml:space="preserve">19.1  </w:t>
      </w:r>
      <w:r>
        <w:rPr>
          <w:b/>
        </w:rPr>
        <w:t xml:space="preserve">Reasonableness on all three prongs</w:t>
      </w:r>
      <w:r>
        <w:t xml:space="preserve"> — Required (MUST)</w:t>
      </w:r>
    </w:p>
    <w:p>
      <w:pPr>
        <w:spacing w:before="0" w:after="120"/>
        <w:ind w:left="540"/>
      </w:pPr>
      <w:r>
        <w:t xml:space="preserve">Run every restraint through Iowa's three questions: is the restriction reasonably necessary for the protection of the employer's business, is it unreasonably restrictive of the employee's rights, and is it prejudicial to the public interest. The burden of proving reasonableness sits with the employer who seeks enforcement — the worker never has to prove the covenant unreasonable — and the package is measured against real protectable interests like customer proximity and employer-specific information, never against the bare wish to avoid competition. There is no duration or geography safe harbor; every number in the agreement is defended on its facts. </w:t>
      </w:r>
    </w:p>
    <w:p>
      <w:pPr>
        <w:keepNext/>
        <w:spacing w:before="200" w:after="80"/>
      </w:pPr>
      <w:r>
        <w:rPr>
          <w:rFonts w:ascii="Segoe UI Symbol" w:hAnsi="Segoe UI Symbol"/>
        </w:rPr>
        <w:t xml:space="preserve">☐  </w:t>
      </w:r>
      <w:r>
        <w:rPr>
          <w:b/>
        </w:rPr>
        <w:t xml:space="preserve">19.2  </w:t>
      </w:r>
      <w:r>
        <w:rPr>
          <w:b/>
        </w:rPr>
        <w:t xml:space="preserve">Contractor covenants get the same review</w:t>
      </w:r>
      <w:r>
        <w:t xml:space="preserve"> — Required (MUST)</w:t>
      </w:r>
    </w:p>
    <w:p>
      <w:pPr>
        <w:spacing w:before="0" w:after="120"/>
        <w:ind w:left="540"/>
      </w:pPr>
      <w:r>
        <w:t xml:space="preserve">Do not skip the analysis because the signer is an independent contractor — Iowa's framework reaches contractor covenants, and the leading application is a contractor case. The posture changes the outcome, not the test: routine training and support of the kind any reseller would receive earns no special protection, and a restraint forcing the contractor to abandon customers the contractor brought to the relationship is unreasonable. Scope the covenant to relationships and information the company actually supplied, and expect the court, not a jury, to decide enforceability. </w:t>
      </w:r>
    </w:p>
    <w:p>
      <w:pPr>
        <w:keepNext/>
        <w:spacing w:before="200" w:after="80"/>
      </w:pPr>
      <w:r>
        <w:rPr>
          <w:rFonts w:ascii="Segoe UI Symbol" w:hAnsi="Segoe UI Symbol"/>
        </w:rPr>
        <w:t xml:space="preserve">☐  </w:t>
      </w:r>
      <w:r>
        <w:rPr>
          <w:b/>
        </w:rPr>
        <w:t xml:space="preserve">19.3  </w:t>
      </w:r>
      <w:r>
        <w:rPr>
          <w:b/>
        </w:rPr>
        <w:t xml:space="preserve">No practice restraints on mental-health professionals</w:t>
      </w:r>
      <w:r>
        <w:t xml:space="preserve"> — Prohibited (MUST NOT)</w:t>
      </w:r>
    </w:p>
    <w:p>
      <w:pPr>
        <w:spacing w:before="0" w:after="120"/>
        <w:ind w:left="540"/>
      </w:pPr>
      <w:r>
        <w:t xml:space="preserve">An employer cannot make an agreement with a licensed mental health professional that limits where the licensee may practice, bars the licensee from contacting people previously treated, or puts a time restriction on the licensee's practice. The statute reaches backward as well as forward — a contrary provision in an agreement entered into prior to, on, or after June 1, 2023 is void and unenforceable — so an old covenant gets no grandfathering. Notice the breadth: the former-patient-contact bar also voids the patient-facing slice of a customer non-solicit as applied to these licensees. </w:t>
      </w:r>
    </w:p>
    <w:p>
      <w:pPr>
        <w:keepNext/>
        <w:spacing w:before="200" w:after="80"/>
      </w:pPr>
      <w:r>
        <w:rPr>
          <w:rFonts w:ascii="Segoe UI Symbol" w:hAnsi="Segoe UI Symbol"/>
        </w:rPr>
        <w:t xml:space="preserve">☐  </w:t>
      </w:r>
      <w:r>
        <w:rPr>
          <w:b/>
        </w:rPr>
        <w:t xml:space="preserve">19.4  </w:t>
      </w:r>
      <w:r>
        <w:rPr>
          <w:b/>
        </w:rPr>
        <w:t xml:space="preserve">No staffing-agency non-competes or conversion fees</w:t>
      </w:r>
      <w:r>
        <w:t xml:space="preserve"> — Prohibited (MUST NOT)</w:t>
      </w:r>
    </w:p>
    <w:p>
      <w:pPr>
        <w:spacing w:before="0" w:after="120"/>
        <w:ind w:left="540"/>
      </w:pPr>
      <w:r>
        <w:t xml:space="preserve">A health-care employment agency cannot restrict an agency worker's employment opportunities through a noncompete clause in any contract — with the worker or with the health-care facility — and cannot require liquidated damages, employment fees, or other compensation when the worker is later hired as a permanent employee of the facility. The two prohibitions travel together: a staffing agreement that drops the formal covenant but charges a conversion fee when the hospital hires the worker directly rebuilds the restraint through pricing, and the statute closes that channel expressly. </w:t>
      </w:r>
    </w:p>
    <w:p>
      <w:pPr>
        <w:keepNext/>
        <w:spacing w:before="200" w:after="80"/>
      </w:pPr>
      <w:r>
        <w:rPr>
          <w:rFonts w:ascii="Segoe UI Symbol" w:hAnsi="Segoe UI Symbol"/>
        </w:rPr>
        <w:t xml:space="preserve">☐  </w:t>
      </w:r>
      <w:r>
        <w:rPr>
          <w:b/>
        </w:rPr>
        <w:t xml:space="preserve">19.5  </w:t>
      </w:r>
      <w:r>
        <w:rPr>
          <w:b/>
        </w:rPr>
        <w:t xml:space="preserve">Franchise nonrenewal gives up the non-compete</w:t>
      </w:r>
      <w:r>
        <w:t xml:space="preserve"> — Required (MUST)</w:t>
      </w:r>
    </w:p>
    <w:p>
      <w:pPr>
        <w:spacing w:before="0" w:after="120"/>
        <w:ind w:left="540"/>
      </w:pPr>
      <w:r>
        <w:t xml:space="preserve">A franchise-relationship rule, not an employee rule: when the franchisor declines to renew because it completely withdraws from distributing its products or services in the franchisee's geographic market, the statutory price of that nonrenewal ground is agreeing not to seek to enforce any covenant of the nonrenewed franchisee not to compete. A franchise agreement that recites an unconditional post-term covenant should be read against this condition — in the market-withdrawal scenario the covenant is unenforceable by the franchisor's own statutory undertaking. </w:t>
      </w:r>
    </w:p>
    <w:p>
      <w:pPr>
        <w:keepNext/>
        <w:spacing w:before="200" w:after="80"/>
      </w:pPr>
      <w:r>
        <w:rPr>
          <w:rFonts w:ascii="Segoe UI Symbol" w:hAnsi="Segoe UI Symbol"/>
        </w:rPr>
        <w:t xml:space="preserve">☐  </w:t>
      </w:r>
      <w:r>
        <w:rPr>
          <w:b/>
        </w:rPr>
        <w:t xml:space="preserve">19.6  </w:t>
      </w:r>
      <w:r>
        <w:rPr>
          <w:b/>
        </w:rPr>
        <w:t xml:space="preserve">No non-competes in UIHC clinical contracts</w:t>
      </w:r>
      <w:r>
        <w:t xml:space="preserve"> — Prohibited (MUST NOT)</w:t>
      </w:r>
    </w:p>
    <w:p>
      <w:pPr>
        <w:spacing w:before="0" w:after="120"/>
        <w:ind w:left="540"/>
      </w:pPr>
      <w:r>
        <w:t xml:space="preserve">The University of Iowa Hospitals and Clinics cannot put a noncompete clause in an employment contract with an advanced registered nurse practitioner, licensed practical nurse, pharmacist, physician, physician assistant, or registered nurse: the 2026 Act directs the Board of Regents to develop a policy prohibiting exactly that, and the prohibition applies to listed contracts entered into, extended, or renewed on or after the Act's effective date — an extension or renewal pulls an older covenant in. Keep the rule in proportion: it binds one institution's contracts with six listed roles, and it is not a statewide physician or health-care non-compete ban. </w:t>
      </w:r>
    </w:p>
    <w:p>
      <w:pPr>
        <w:keepNext/>
        <w:spacing w:before="200" w:after="80"/>
      </w:pPr>
      <w:r>
        <w:rPr>
          <w:rFonts w:ascii="Segoe UI Symbol" w:hAnsi="Segoe UI Symbol"/>
        </w:rPr>
        <w:t xml:space="preserve">☐  </w:t>
      </w:r>
      <w:r>
        <w:rPr>
          <w:b/>
        </w:rPr>
        <w:t xml:space="preserve">19.7  </w:t>
      </w:r>
      <w:r>
        <w:rPr>
          <w:b/>
        </w:rPr>
        <w:t xml:space="preserve">Chapter 550 carries the secrecy load</w:t>
      </w:r>
      <w:r>
        <w:t xml:space="preserve"> — Recommended (SHOULD)</w:t>
      </w:r>
    </w:p>
    <w:p>
      <w:pPr>
        <w:spacing w:before="0" w:after="120"/>
        <w:ind w:left="540"/>
      </w:pPr>
      <w:r>
        <w:t xml:space="preserve">If the employer's real concern is secrecy, check that the agreement leans on the tools built for it: a confidentiality definition tracking the statutory test of economic value from secrecy plus reasonable secrecy efforts, statutory injunctions against actual or threatened misappropriation, damages for actual loss and unjust enrichment, and fee awards for willful and malicious misappropriation. Iowa has not made the statute the exclusive route — common-law tort theories involving trade secrets survive — so a tailored NDA plus the statutory remedies often protects more than a non-compete that must first survive three-prong review. </w:t>
      </w:r>
    </w:p>
    <w:p>
      <w:pPr>
        <w:spacing w:before="360" w:after="0"/>
      </w:pPr>
      <w:r>
        <w:rPr>
          <w:color w:val="666666"/>
          <w:sz w:val="16"/>
          <w:szCs w:val="16"/>
        </w:rPr>
        <w:t xml:space="preserve">Steven Obiajulu, J.D. edits this review checklist for Iowa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