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Louisiana</w:t>
      </w:r>
    </w:p>
    <w:p>
      <w:pPr>
        <w:spacing w:before="0" w:after="120"/>
      </w:pPr>
      <w:r>
        <w:rPr>
          <w:i/>
          <w:color w:val="444444"/>
        </w:rPr>
        <w:t xml:space="preserve">A clause-by-clause reviewer checklist for Louisiana employee restrictive covenant agreements — confidentiality, non-solicits, non-competes, and non-disparagement under La. R.S. 23:921's void-unless-excepted rule, parish-naming requirement, two-year cap, and occupation carve-outs.</w:t>
      </w:r>
    </w:p>
    <w:p>
      <w:pPr>
        <w:spacing w:before="0" w:after="240"/>
      </w:pPr>
      <w:r>
        <w:rPr>
          <w:color w:val="666666"/>
          <w:sz w:val="18"/>
          <w:szCs w:val="18"/>
        </w:rPr>
        <w:t xml:space="preserve">By Steven Obiajulu, J.D. Last reviewed 2026-06-12. License: CC BY 4.0. https://openagreements.org/checklists/non-compete/us/louisiana</w:t>
      </w:r>
    </w:p>
    <w:p>
      <w:pPr>
        <w:keepNext/>
        <w:spacing w:before="360" w:after="160"/>
      </w:pPr>
      <w:r>
        <w:rPr>
          <w:b/>
          <w:sz w:val="28"/>
          <w:szCs w:val="28"/>
        </w:rPr>
        <w:t xml:space="preserve">1. Parties and cover-term identification</w:t>
      </w:r>
    </w:p>
    <w:p>
      <w:pPr>
        <w:spacing w:before="0" w:after="120"/>
      </w:pPr>
      <w:r>
        <w:t xml:space="preserve">Review every item below the way a Louisiana court would: the statute opens by declaring every restraint on a lawful profession, trade, or business null and void, admits only the exceptions written into its own text, and is strictly construed against the employer. For the question-by-question legal analysis behind these items, see the </w:t>
      </w:r>
      <w:r>
        <w:t xml:space="preserve">Louisiana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named in the covenant is the entity that actually employs the worker. The statutory employee exception runs between an employer and a person employed as an agent, servant, or employee — a covenant papered with an affiliate that never employed the worker starts outside the only lane that could save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Louisiana the effective date can decide enforceability on its own: a covenant signed before employment begins has been saved only where the agreement fixed an effective date equal to the worker's first day on the job. Verify the date is stated and lands inside the employment relationship.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more care than usual, because occupation selects the governing rule here: physicians get burn-off caps measured from signing, automobile salesmen — and, for agreements effective on or after August 1, 2026, interns and apprentices — cannot be restrained at all, and real estate licensees need a rescission right. The stated title is the first signal that one of those special lanes applies.</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selecting another state's law for a Louisiana employee as a red flag rather than a fix. The statute voids choice-of-law and choice-of-forum clauses in employment contracts unless the employee ratifies them after the dispute has already arisen.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definition covers genuinely protectable information and nothing more. A definition so broad that honoring it would keep the worker from working in the field reads as a restraint on a lawful profession — which is exactly the conduct the statute voids by default.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Louisiana's trade-secret statute supplies an injunction against actual or threatened misappropriation independent of any covenant, so a clean trade-secret definition preserves the remedy most likely to survive even when the covenant does not. </w:t>
      </w:r>
    </w:p>
    <w:p>
      <w:pPr>
        <w:keepNext/>
        <w:spacing w:before="200" w:after="80"/>
      </w:pPr>
      <w:r>
        <w:rPr>
          <w:rFonts w:ascii="Segoe UI Symbol" w:hAnsi="Segoe UI Symbol"/>
        </w:rPr>
        <w:t xml:space="preserve">☐  </w:t>
      </w:r>
      <w:r>
        <w:rPr>
          <w:b/>
        </w:rPr>
        <w:t xml:space="preserve">2.3  </w:t>
      </w:r>
      <w:r>
        <w:rPr>
          <w:b/>
        </w:rPr>
        <w:t xml:space="preserve">Restricted period capped at two years</w:t>
      </w:r>
      <w:r>
        <w:t xml:space="preserve"> — Prohibited (MUST NOT)</w:t>
      </w:r>
    </w:p>
    <w:p>
      <w:pPr>
        <w:spacing w:before="0" w:after="120"/>
        <w:ind w:left="540"/>
      </w:pPr>
      <w:r>
        <w:t xml:space="preserve">Find every duration in the agreement and test it against the statutory ceiling: an employee non-compete or customer non-solicit may run at most two years from termination of employment. A single defined Restricted Period keeps that audit possible across the covenant suite — and a term past two years is not negotiated down by a court; it simply fails. </w:t>
      </w:r>
    </w:p>
    <w:p>
      <w:pPr>
        <w:keepNext/>
        <w:spacing w:before="200" w:after="80"/>
      </w:pPr>
      <w:r>
        <w:rPr>
          <w:rFonts w:ascii="Segoe UI Symbol" w:hAnsi="Segoe UI Symbol"/>
        </w:rPr>
        <w:t xml:space="preserve">☐  </w:t>
      </w:r>
      <w:r>
        <w:rPr>
          <w:b/>
        </w:rPr>
        <w:t xml:space="preserve">2.4  </w:t>
      </w:r>
      <w:r>
        <w:rPr>
          <w:b/>
        </w:rPr>
        <w:t xml:space="preserve">Territory named by parish or municipality</w:t>
      </w:r>
      <w:r>
        <w:t xml:space="preserve"> — Required (MUST)</w:t>
      </w:r>
    </w:p>
    <w:p>
      <w:pPr>
        <w:spacing w:before="0" w:after="120"/>
        <w:ind w:left="540"/>
      </w:pPr>
      <w:r>
        <w:t xml:space="preserve">The territory must list parishes or municipalities — or parts of them — by name, limited to places where the employer actually carries on a like business. A mileage radius does not satisfy the statute: a restriction defined by a seventy-five-mile radius was struck as overly broad, and a catch-all reaching anywhere the employer operates fails for the same reason. Because courts here sever rather than rewrite, an overbroad territory is struck, never trimmed to fit.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customer class to relationships the worker actually served during a stated look-back window, and remember that restraining customer solicitation sits inside the same statutory lane as the non-compete — named parishes, a like business, two years. An entire-book-of-business definition only widens a clause the law already reads narrowly.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anti-poaching class to colleagues the departing worker actually worked with. The clause sits outside the non-compete statute, but it is still tested for reasonableness in scope and duration — and a class sweeping in the whole workforce invites the same fate as a clause with no end date.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Recite the interests, but do not expect them to carry weight the statute never gives them. Louisiana enforces a covenant because it tracks the statutory text, not because the employer's interests are compelling, and the covenant is strictly construed against the party enforcing it — so the recital frames the clause without rescuing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statute permits restraining a business similar to that of the employer, so the definition should describe what the employer concretely does. A definition reaching lines of business the employer never carried on stretches past the exception's text — and outside the exception there is only the void zone.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restrains more than the statutory exception describes, in a state where overreach means nullity rather than narrowing.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language without a capitalized term. If the defined term appears, check that its percentage matches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soliciting concretely, with initiating contact as the core. The definition matters twice in Louisiana: customer solicitation falls inside the statute's strict lane, while employee anti-poaching is judged under a common-law reasonableness standard — and a fuzzy definition blurs which regime each clause sits in.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event that ends employment, because the two-year ceiling is measured from termination — not from when competition stops, when judgment issues, or when the employer learns of a breach. An ambiguous trigger makes the one date the statute cares about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acknowledgement should record when the covenant was signed relative to the first day of work. A covenant signed by someone not yet employed has been held unenforceable, the recognized cure is an express effective date matching the start of employment, and for a worker already on the job, continued employment itself supplies the lawful cause — so the acknowledgement should make the timeline self-proving.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Louisiana statute requires it, but it is inexpensive evidence of a knowing signature in a regime where the worker's procedural posture — what was signed, when, and with what understanding — does real analytical 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law keys the right to continued secrecy. In Louisiana the trade-secret framework is the workhorse protection when the covenant itself fails, so a fixed expiry on trade-secret obligations gives away the most dependable remedy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An everything-forever confidentiality lid edges toward functioning as a restraint on working in the field — and a clause that operates that way gets tested under the statute the drafter was trying to stay out of.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Louisiana: omit the immunity notice and the employer forfeits exemplary damages and attorney fees in a later trade-secret action against the worker. In a state that pushes employers toward trade-secret remedies instead of covenants, giving those remedies a haircut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state law governs the covenant,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the express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Where the realistic protections are trade-secret and confidentiality claims rather than the covenant itself, the certification is the contemporaneous evidence those claims lean on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the one covenant in the family that lives outside the non-compete statute, because a promise not to recruit former colleagues does not restrain the worker's own trade. It is still tested for reasonableness in scope and duration, so route it through the anti-poaching gate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Despite the softer name, a customer non-solicit restrains the worker's own trade and travels inside the statutory lane: named parishes or municipalities, a like business carried on there, and two years from termination. Review it with exactly the rigor the non-compete gets.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A bar on doing business with covered customers even when they call first restrains the worker's trade more than a solicitation ban does — and the statute names no lane for it. Expect it to be measured against the default rule of nullity;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Null by default, saved only by the statute's own terms, and strictly construed against the employer. If the clause appears at all, run it straight through the Louisiana statutory gates at the end of this checklist — exception, employment timing, parishes, two years, occupation carve-outs — before evaluating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 a strict-construction regime every concrete boundary the drafter sets is one less ambiguity a court will resolve against enforcement.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broad enough to operate as a restraint on the worker's profession, which is the conduct the statute voids.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duration; the audit is in the carve-outs. Truthful testimony, statements to government agencies, and protected workplace speech must sit outside the clause — the Board treats overbroad non-disparagement as unlawful no matter which state's law governs the covenant.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Louisiana physician rules accurately: for contracts effective on or after January 1, 2025, the restraint runs from the effective date of the initial contract — a burn-off — and tops out at three years for a primary care physician and five years for any other physician. A clause copying the ordinary two-years-from-termination model gets both the clock and the cap wrong at once; the detailed math lives in the Louisiana statutory gates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the same analysis runs in reverse: a covenant the worker signed elsewhere may be void as applied to a Louisiana employee — territory, duration, or forum clause —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here: warning a new employer off the worker based on a covenant that is null under the statute asserts rights the employer never had. If the clause appears, condition any notice on a covenant that actually fits a statutory exception.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in Louisiana flag any extension mechanism as a likely dead letter. The ceiling is two years measured from termination, fixed by statute; a covenant that violates the statute is not reformed into compliance; and no Louisiana statute or appellate decision blesses adding time back for breach or litigation. The safest reading is that an extension clause fails to the extent it carries the restraint past the ceiling.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 and remember the injunction most likely to issue in Louisiana is the trade-secret one, available against actual or threatened misappropriation whether or not any covenant survives. The acknowledgement supports the covenant claim; the statute carries the backup.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If fee-shifting appears, check that it is mutual and prevailing-party based; a one-way employer clause bolted onto a covenant this fragile mostly documents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triage, not a safety net. A court will not rewrite a defective Louisiana covenant into compliance — at most, under a severability clause, it strikes the offending portion and enforces terms that already comply on their own. Drafting broad and counting on narrowing is how covenants end up entirely null here; each element should be compliant as written, with severance preserving the rest if one element still fails.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perpetual for trade secrets, finite for ordinary confidentiality, never past two years from termination for the statutory covenants, and burn-off-based for physicians. A bundled survival clause is where an over-long duration hides from review.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holding the covenant inherits it exactly as the statute limits it — the named parishes, the two-year ceiling, the occupation carve-outs — so assignment relocates the covenant without ever expanding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Louisiana law and forum</w:t>
      </w:r>
      <w:r>
        <w:t xml:space="preserve"> — Prohibited (MUST NOT)</w:t>
      </w:r>
    </w:p>
    <w:p>
      <w:pPr>
        <w:spacing w:before="0" w:after="120"/>
        <w:ind w:left="540"/>
      </w:pPr>
      <w:r>
        <w:t xml:space="preserve">For a Louisiana employee, the agreement must not lean on another state's law or an out-of-state forum: the statute makes both clause types in an employment contract null and void unless the employee expressly, knowingly, and voluntarily ratifies them after the incident giving rise to the dispute — a ratification that almost never happens in practice. The clause should still state governing law, venue, and process; Louisiana law in a Louisiana forum is the selection that operates as written, and a foreign clause signals a form that was never localized.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Louisiana wrinkle worth checking: amendment mechanics should preserve the agreement's effective-date discipline, because enforceability keys to whether employment existed when the covenant took effect and which statutory regime — the physician caps, the intern and apprentice ban — was in force on that date.</w:t>
      </w:r>
    </w:p>
    <w:p>
      <w:pPr>
        <w:keepNext/>
        <w:spacing w:before="360" w:after="160"/>
      </w:pPr>
      <w:r>
        <w:rPr>
          <w:b/>
          <w:sz w:val="28"/>
          <w:szCs w:val="28"/>
        </w:rPr>
        <w:t xml:space="preserve">19. Louisiana statutory gates (La. R.S. 23:921)</w:t>
      </w:r>
    </w:p>
    <w:p>
      <w:pPr>
        <w:spacing w:before="0" w:after="120"/>
      </w:pPr>
      <w:r>
        <w:t xml:space="preserve">The eight items below exist only on this Louisiana page: they implement the statute's void-unless-excepted structure, its employment-timing rule, the physician burn-off caps, the occupation carve-outs, the anti-poaching duration rule, and the sale-of-business track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here whenever a non-compete or customer non-solicit appears: the default rule voids every restraint on a lawful profession, trade, or business, and only the exceptions written into the statute save a covenant. Identify the exception the clause relies on — the employee lane, the sale of goodwill, or another listed track — and hold the drafting to its exact text, because the covenant is strictly construed against the employer and a missed element means nullity, not a closer look at reasonableness. </w:t>
      </w:r>
    </w:p>
    <w:p>
      <w:pPr>
        <w:keepNext/>
        <w:spacing w:before="200" w:after="80"/>
      </w:pPr>
      <w:r>
        <w:rPr>
          <w:rFonts w:ascii="Segoe UI Symbol" w:hAnsi="Segoe UI Symbol"/>
        </w:rPr>
        <w:t xml:space="preserve">☐  </w:t>
      </w:r>
      <w:r>
        <w:rPr>
          <w:b/>
        </w:rPr>
        <w:t xml:space="preserve">19.2  </w:t>
      </w:r>
      <w:r>
        <w:rPr>
          <w:b/>
        </w:rPr>
        <w:t xml:space="preserve">Employment exists on the effective date</w:t>
      </w:r>
      <w:r>
        <w:t xml:space="preserve"> — Required (MUST)</w:t>
      </w:r>
    </w:p>
    <w:p>
      <w:pPr>
        <w:spacing w:before="0" w:after="120"/>
        <w:ind w:left="540"/>
      </w:pPr>
      <w:r>
        <w:t xml:space="preserve">Match the covenant's effective date against the worker's first day. A covenant signed by someone not yet employed is unenforceable; the recognized cure is an express effective date on or after the start of employment, so a candidate-stage signature without that date language is a defect no later drafting fixes. </w:t>
      </w:r>
    </w:p>
    <w:p>
      <w:pPr>
        <w:keepNext/>
        <w:spacing w:before="200" w:after="80"/>
      </w:pPr>
      <w:r>
        <w:rPr>
          <w:rFonts w:ascii="Segoe UI Symbol" w:hAnsi="Segoe UI Symbol"/>
        </w:rPr>
        <w:t xml:space="preserve">☐  </w:t>
      </w:r>
      <w:r>
        <w:rPr>
          <w:b/>
        </w:rPr>
        <w:t xml:space="preserve">19.3  </w:t>
      </w:r>
      <w:r>
        <w:rPr>
          <w:b/>
        </w:rPr>
        <w:t xml:space="preserve">Physician burn-off caps</w:t>
      </w:r>
      <w:r>
        <w:t xml:space="preserve"> — Prohibited (MUST NOT)</w:t>
      </w:r>
    </w:p>
    <w:p>
      <w:pPr>
        <w:spacing w:before="0" w:after="120"/>
        <w:ind w:left="540"/>
      </w:pPr>
      <w:r>
        <w:t xml:space="preserve">For physician contracts effective on or after January 1, 2025, check the clock and the cap together: the restraint runs from the effective date of the initial contract — a burn-off — and cannot exceed three years for a primary care physician or five years for any other physician. A physician who has already practiced past the burn-off window may be beyond restraint entirely, the opposite of the ordinary post-termination model. </w:t>
      </w:r>
    </w:p>
    <w:p>
      <w:pPr>
        <w:keepNext/>
        <w:spacing w:before="200" w:after="80"/>
      </w:pPr>
      <w:r>
        <w:rPr>
          <w:rFonts w:ascii="Segoe UI Symbol" w:hAnsi="Segoe UI Symbol"/>
        </w:rPr>
        <w:t xml:space="preserve">☐  </w:t>
      </w:r>
      <w:r>
        <w:rPr>
          <w:b/>
        </w:rPr>
        <w:t xml:space="preserve">19.4  </w:t>
      </w:r>
      <w:r>
        <w:rPr>
          <w:b/>
        </w:rPr>
        <w:t xml:space="preserve">No covenants for automobile salesmen</w:t>
      </w:r>
      <w:r>
        <w:t xml:space="preserve"> — Prohibited (MUST NOT)</w:t>
      </w:r>
    </w:p>
    <w:p>
      <w:pPr>
        <w:spacing w:before="0" w:after="120"/>
        <w:ind w:left="540"/>
      </w:pPr>
      <w:r>
        <w:t xml:space="preserve">No agreement between an automobile salesman and his employer can restrain him from selling automobiles — a categorical bar written into the statute itself. If the worker sells cars, the analysis ends at the job description; no drafting inside the employee exception buys the covenant back. </w:t>
      </w:r>
    </w:p>
    <w:p>
      <w:pPr>
        <w:keepNext/>
        <w:spacing w:before="200" w:after="80"/>
      </w:pPr>
      <w:r>
        <w:rPr>
          <w:rFonts w:ascii="Segoe UI Symbol" w:hAnsi="Segoe UI Symbol"/>
        </w:rPr>
        <w:t xml:space="preserve">☐  </w:t>
      </w:r>
      <w:r>
        <w:rPr>
          <w:b/>
        </w:rPr>
        <w:t xml:space="preserve">19.5  </w:t>
      </w:r>
      <w:r>
        <w:rPr>
          <w:b/>
        </w:rPr>
        <w:t xml:space="preserve">No covenants for interns and apprentices</w:t>
      </w:r>
      <w:r>
        <w:t xml:space="preserve"> — Prohibited (MUST NOT)</w:t>
      </w:r>
    </w:p>
    <w:p>
      <w:pPr>
        <w:spacing w:before="0" w:after="120"/>
        <w:ind w:left="540"/>
      </w:pPr>
      <w:r>
        <w:t xml:space="preserve">For agreements effective on or after August 1, 2026, an intern — paid or unpaid — or an apprentice cannot be restrained from engaging in a business or employment similar to the employer's. Check the worker's program status before anything else in the covenant: the ban is categorical, in the same shape as the automobile-salesman bar. </w:t>
      </w:r>
    </w:p>
    <w:p>
      <w:pPr>
        <w:keepNext/>
        <w:spacing w:before="200" w:after="80"/>
      </w:pPr>
      <w:r>
        <w:rPr>
          <w:rFonts w:ascii="Segoe UI Symbol" w:hAnsi="Segoe UI Symbol"/>
        </w:rPr>
        <w:t xml:space="preserve">☐  </w:t>
      </w:r>
      <w:r>
        <w:rPr>
          <w:b/>
        </w:rPr>
        <w:t xml:space="preserve">19.6  </w:t>
      </w:r>
      <w:r>
        <w:rPr>
          <w:b/>
        </w:rPr>
        <w:t xml:space="preserve">Rescission right for real estate licensees</w:t>
      </w:r>
      <w:r>
        <w:t xml:space="preserve"> — Required (MUST)</w:t>
      </w:r>
    </w:p>
    <w:p>
      <w:pPr>
        <w:spacing w:before="0" w:after="120"/>
        <w:ind w:left="540"/>
      </w:pPr>
      <w:r>
        <w:t xml:space="preserve">A broker-licensee non-compete is unenforceable and an absolute nullity unless the licensee can rescind it until midnight of the third business day after execution or delivery, whichever is later. Confirm the rescission right is stated and that the window is computed from the later of the two dates — a covenant that satisfies every other element still fails for this occupation without it. </w:t>
      </w:r>
    </w:p>
    <w:p>
      <w:pPr>
        <w:keepNext/>
        <w:spacing w:before="200" w:after="80"/>
      </w:pPr>
      <w:r>
        <w:rPr>
          <w:rFonts w:ascii="Segoe UI Symbol" w:hAnsi="Segoe UI Symbol"/>
        </w:rPr>
        <w:t xml:space="preserve">☐  </w:t>
      </w:r>
      <w:r>
        <w:rPr>
          <w:b/>
        </w:rPr>
        <w:t xml:space="preserve">19.7  </w:t>
      </w:r>
      <w:r>
        <w:rPr>
          <w:b/>
        </w:rPr>
        <w:t xml:space="preserve">End date on the anti-poaching clause</w:t>
      </w:r>
      <w:r>
        <w:t xml:space="preserve"> — Required (MUST)</w:t>
      </w:r>
    </w:p>
    <w:p>
      <w:pPr>
        <w:spacing w:before="0" w:after="120"/>
        <w:ind w:left="540"/>
      </w:pPr>
      <w:r>
        <w:t xml:space="preserve">The anti-poaching clause escapes the non-compete statute but not scrutiny: it must be reasonable in scope and duration, and a clause failed precisely because the agreement contained no durational language at all. Find the end date; if there is none, the clause has no defense to offer. </w:t>
      </w:r>
    </w:p>
    <w:p>
      <w:pPr>
        <w:keepNext/>
        <w:spacing w:before="200" w:after="80"/>
      </w:pPr>
      <w:r>
        <w:rPr>
          <w:rFonts w:ascii="Segoe UI Symbol" w:hAnsi="Segoe UI Symbol"/>
        </w:rPr>
        <w:t xml:space="preserve">☐  </w:t>
      </w:r>
      <w:r>
        <w:rPr>
          <w:b/>
        </w:rPr>
        <w:t xml:space="preserve">19.8  </w:t>
      </w:r>
      <w:r>
        <w:rPr>
          <w:b/>
        </w:rPr>
        <w:t xml:space="preserve">Sale-of-business covenant limits</w:t>
      </w:r>
      <w:r>
        <w:t xml:space="preserve"> — Required (MUST)</w:t>
      </w:r>
    </w:p>
    <w:p>
      <w:pPr>
        <w:spacing w:before="0" w:after="120"/>
        <w:ind w:left="540"/>
      </w:pPr>
      <w:r>
        <w:t xml:space="preserve">The goodwill-sale covenant runs on its own track with the same architecture: named parishes or municipalities where the buyer carries on the like business, and at most two years measured from the date of sale rather than from any employment event. Test both limits before relying on the sale exception — a multi-year covenant copied from a national acquisition form fails on its face. </w:t>
      </w:r>
    </w:p>
    <w:p>
      <w:pPr>
        <w:spacing w:before="360" w:after="0"/>
      </w:pPr>
      <w:r>
        <w:rPr>
          <w:color w:val="666666"/>
          <w:sz w:val="16"/>
          <w:szCs w:val="16"/>
        </w:rPr>
        <w:t xml:space="preserve">Steven Obiajulu, J.D. edits this review checklist for Louisiana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