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Maryland</w:t>
      </w:r>
    </w:p>
    <w:p>
      <w:pPr>
        <w:spacing w:before="0" w:after="120"/>
      </w:pPr>
      <w:r>
        <w:rPr>
          <w:i/>
          <w:color w:val="444444"/>
        </w:rPr>
        <w:t xml:space="preserve">A clause-by-clause reviewer checklist for Maryland employee restrictive covenant agreements — confidentiality, non-solicits, non-competes, and non-disparagement under Md. Code, Lab. &amp; Empl. § 3-716's worker-class voids, the clinician cap, and the Becker reasonableness test.</w:t>
      </w:r>
    </w:p>
    <w:p>
      <w:pPr>
        <w:spacing w:before="0" w:after="240"/>
      </w:pPr>
      <w:r>
        <w:rPr>
          <w:color w:val="666666"/>
          <w:sz w:val="18"/>
          <w:szCs w:val="18"/>
        </w:rPr>
        <w:t xml:space="preserve">By Steven Obiajulu, J.D. Last reviewed 2026-06-11. License: CC BY 4.0. https://openagreements.org/checklists/non-compete/us/maryland</w:t>
      </w:r>
    </w:p>
    <w:p>
      <w:pPr>
        <w:keepNext/>
        <w:spacing w:before="360" w:after="160"/>
      </w:pPr>
      <w:r>
        <w:rPr>
          <w:b/>
          <w:sz w:val="28"/>
          <w:szCs w:val="28"/>
        </w:rPr>
        <w:t xml:space="preserve">1. Parties and cover-term identification</w:t>
      </w:r>
    </w:p>
    <w:p>
      <w:pPr>
        <w:spacing w:before="0" w:after="120"/>
      </w:pPr>
      <w:r>
        <w:t xml:space="preserve">Review every item below the way a Maryland court would: a statute voids covenants outright for low-wage, veterinary, and most direct-patient-care health workers, caps what survives for higher-earning clinicians, and the common law enforces only restraints no wider than reasonably necessary. For the question-by-question legal analysis behind these items, see the </w:t>
      </w:r>
      <w:r>
        <w:t xml:space="preserve">Maryland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Maryland's statutory voids turn on the employee's wage and occupation in that employment, and the patient-notice duty for departing clinicians runs to the employer — a covenant papered with an affiliate that holds neither the payroll nor the patients muddies both analyses.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sorting work in Maryland: the health care expansion of the statute reaches only agreements executed on or after July 1, 2025, the architect category begins with agreements executed on or after October 1, 2026, and the veterinary ban reaches backward to existing agreements. An undated covenant leaves the reviewer unable to tell which regime applies.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license, and duties — in Maryland the occupation can decide the case before reasonableness ever runs. A veterinary license, a Health Occupations Article license paired with direct patient care, or wages near the statutory floor each route the covenant into a void or capped category, and the title is the first clue that one of those categories is in play.</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Maryland's statute declares covered covenants null and void as against the public policy of the State, so a foreign-law clause papering a Maryland worker invites a public-policy fight rather than a clean escape — treat it as a flag that the form was never localized.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Maryland this definition carries extra weight because it survives where the covenant dies: the statute's void rule does not reach provisions about the taking or use of client or patient lists or other proprietary client information. Make sure the definition captures those lists and data with precision, since for protected workers it may be the only restriction left standing.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information with independent economic value from secrecy, subject to reasonable secrecy efforts. Maryland's trade-secret act supplies remedies that do not depend on an enforceable covenant, so a definition aligned with the statute keeps that fallback fully loaded.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Maryland sets no fixed cap for ordinary employees — the courts apply no arbitrary yardstick — so the defined period is what the reviewer measures against the worker's actual role and exposure, and a covenant that scatters its durations across clauses defeats that audit.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worker actually built relationships or used protected information. Maryland calls a restraint overbroad the moment it exceeds what is reasonably necessary to protect the employer's legally protected interest, and territory is where overreach shows first.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solicited during a stated look-back window. Maryland enforces covenants to protect client relationships and against solicitation of customers — not to wall off the employer's entire market — so an all-customers definition outruns the recognized interest.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Maryland's statute does not address employee non-solicits, so the clause is judged on ordinary reasonableness — a modest, relationship-based class reads as protection, a workforce-wide ban reads as restraint.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Maryland's own categories: unique services, trade secrets, routes or client lists, customer solicitation. Recitals about generic competitive advantage add nothing — and even a covenant serving a genuine interest can be no broader or more restrictive than necessary to effectuate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the worker's actual role. A Maryland federal court struck a covenant on its face because it barred work in essentially any capacity — an any-role, any-line-of-business definition is exactly that defect written into the definitions section.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the kind of facially unnecessary restraint that hands the employee an overbreadth argument for free.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does it cover only initiating contact, or also accepting business that walks in the door? Maryland courts weigh covenants fact by fact, and a solicitation definition that quietly converts a non-solicit into a no-dealing ban widens the restraint the court will be measuring.</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Maryland's clinician cap runs from the last day of employment, and every other restricted-period clock starts at this event — an ambiguous trigger makes every duration in the agreement ambiguous with it.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Consideration tied to continued employment</w:t>
      </w:r>
      <w:r>
        <w:t xml:space="preserve"> — Recommended (SHOULD)</w:t>
      </w:r>
    </w:p>
    <w:p>
      <w:pPr>
        <w:spacing w:before="0" w:after="120"/>
        <w:ind w:left="540"/>
      </w:pPr>
      <w:r>
        <w:t xml:space="preserve">Maryland treats continued at-will employment as sufficient consideration for a covenant signed after employment begins — the mutuality of the at-will relationship makes the employer's promise not to terminate as good as the employee's promise to keep working. Still, do not let the agreement rest on a bare recital: check that the recital and the surrounding documents actually connect the signing to the employee's continued employment, because the consideration argument is only as strong as that record.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 no Maryland statute demands it, but the common-law test asks about undue hardship on the employee, and a documented opportunity to take the agreement to counsel is the kind of procedural-fairness fact that makes hardship arguments harder to run.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Maryland's trade-secret act keys the right to information that stays not generally known and subject to reasonable secrecy efforts, with no expiration date. A contractual term that cuts trade-secret obligations off at a fixed date surrenders protection the statute would have kept alive, which matters doubly for workers whose covenants the statute voids.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the confidentiality version of overbreadth, and the two-track structure — perpetual for trade secrets, finite for the rest — keeps each obligation sized to the interest behind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Maryland: omit the immunity notice and the employer forfeits exemplary damages and attorney fees in a later federal trade-secret suit against the worker. Because trade-secret remedies are the fallback Maryland leaves employers when the statute voids a covenant, giving part of them away in the drafting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the carve-out plus notice procedure is the standard way to say so without weakening the rest of the clause.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Maryland's recent trade-secret litigation turned on customer lists and pricing data walking out the door — a signed certification is the cleanest contemporaneous evidence when that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untouched: Maryland's void rule targets provisions that restrict the worker's own next job, not promises about recruiting former colleagues. The clause is still judged on reasonableness, so keep it inside the Covered Employees class and the Restricted Period rather than letting it grow into a hiring ban.</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Maryland instrument: protecting client relationships and client data is squarely inside the interests Maryland recognizes, and the statute itself carves provisions about client and patient lists out of the void rule. Scope it to actual contacts during the look-back window so it stays on the protected side of that line.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chasing it. That moves the clause away from the solicitation interest Maryland protects and toward blocking ordinary competition, which Maryland does not protect; treat its inclusion as a deliberate risk decision, not boilerplate.</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run the worker's wage and occupation through the Maryland statutory gates at the end of this checklist before reading a single term — the statute voids the covenant for whole worker classes regardless of how well it is drafted. Only a covenant that survives that screen earns the common-law analysis: adequate consideration, a restraint no wider as to area and duration than reasonably necessary, no undue hardship, no harm to the public.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Maryland measures every covenant against what is necessary to effectuate the protected interest, and a named list is the most concrete evidence of tailoring a drafter can offer.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open-ended ban on owning competitor stock restricts the worker's use of money already earned, which adds overbreadth without adding protection.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Maryland included.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Clinician rights and notices</w:t>
      </w:r>
      <w:r>
        <w:t xml:space="preserve"> — Recommended (SHOULD)</w:t>
      </w:r>
    </w:p>
    <w:p>
      <w:pPr>
        <w:spacing w:before="0" w:after="120"/>
        <w:ind w:left="540"/>
      </w:pPr>
      <w:r>
        <w:t xml:space="preserve">The dedicated clause should state Maryland's health care rules plainly — and note they reach far beyond physicians, to every Health Occupations Article licensee in a direct-patient-care role. For agreements executed on or after July 1, 2025, a covenant is void for such an employee earning $350,000 or less; above that line the covenant is capped, and the employer owes patients notice, on request, of where the departing clinician will be practicing. The Maryland statutory gates at the end of this checklist carry the item-by-item tests.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claims from prior employers and surfaces an incoming covenant early — when there is still time to assess whether it binds the worker at 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in Maryland: a warning letter built on a covenant the statute voids for the worker's class asserts rights the employer never had. If the clause appears, condition any third-party notice on a covenant that actually clears the Maryland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Maryland question. No Maryland statute or appellate decision squarely blesses tolling or an extension-on-breach clause after the stated period expires, and the safest reading is that an extension is itself a restraint that must pass the same fact-specific reasonableness test as the covenant. Draft it as a separate, bounded restraint tied to the duration of the breach, never as an open-ended reset.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Remember the Maryland backstop: even where the covenant fails, actual or threatened trade-secret misappropriation may be enjoined under the trade-secret act, so the remedies architecture should preserve both routes.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under the default American Rule. Check how any fee or liquidated-damages clause interacts with the rest of the remedies: a Maryland appellate court let an employer recover trade-secret damages on top of declining to enforce the covenant's liquidated-damages terms, so the remedy provisions should be drafted to stack deliberately rather than collide.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no court rescue</w:t>
      </w:r>
      <w:r>
        <w:t xml:space="preserve"> — Avoid (SHOULD NOT)</w:t>
      </w:r>
    </w:p>
    <w:p>
      <w:pPr>
        <w:spacing w:before="0" w:after="120"/>
        <w:ind w:left="540"/>
      </w:pPr>
      <w:r>
        <w:t xml:space="preserve">Read the severability clause against what a Maryland court will actually do: blue-pencil, not rewrite. The court may cross out a violative, severable portion and enforce what remains — and under the strict mechanical version, only if the remaining words still form a complete, valid contract — but if the overbroad term is indivisible, the whole covenant is void, and no savings clause can make a judge draft a narrower radius or duration. Prefer restrictions built in severable tiers, where partial enforcement of the lawful pieces works no injustice, over a single aggressive term plus a plea for reformation.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Maryland because different clauses face different fates: the confidentiality and client-list terms may be doing all the work for a statutorily protected worker,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Maryland wrinkle for the assignee: the statute tests the worker's wage and occupation, not the employer's identity, so an assignment moves the covenant but never lifts a worker out of a void or capped category — and a successor inherits the patient-notice duty along with any clinician covenant.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Maryland has no recorded statutory override of these selections for restrictive covenants, but the void rule speaks in public-policy terms — so for a Maryland-based worker, expect a court to weigh whether a foreign-law selection can sidestep protections the State calls public policy, and price the clause accordingly rather than treating it as a guaranteed exit.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Maryland date trap inside: the health care expansion reaches agreements executed on or after July 1, 2025, so re-papering or re-executing an older covenant can pull it into the modern regime the original signing predated. Review the amendment mechanics so a routine refresh is a conscious regime change, not an accidental one. </w:t>
      </w:r>
    </w:p>
    <w:p>
      <w:pPr>
        <w:keepNext/>
        <w:spacing w:before="360" w:after="160"/>
      </w:pPr>
      <w:r>
        <w:rPr>
          <w:b/>
          <w:sz w:val="28"/>
          <w:szCs w:val="28"/>
        </w:rPr>
        <w:t xml:space="preserve">19. Maryland statutory gates (Md. Code, Lab. &amp; Empl. § 3-716)</w:t>
      </w:r>
    </w:p>
    <w:p>
      <w:pPr>
        <w:spacing w:before="0" w:after="120"/>
      </w:pPr>
      <w:r>
        <w:t xml:space="preserve">The seven items below exist only on this Maryland page: they implement the statute's worker-class voids, the high-earner clinician cap and its patient-notice duty, the client-list carve-out that carries protection when the covenant is void, and the architect category that begins in late 2026.</w:t>
      </w:r>
    </w:p>
    <w:p>
      <w:pPr>
        <w:keepNext/>
        <w:spacing w:before="200" w:after="80"/>
      </w:pPr>
      <w:r>
        <w:rPr>
          <w:rFonts w:ascii="Segoe UI Symbol" w:hAnsi="Segoe UI Symbol"/>
        </w:rPr>
        <w:t xml:space="preserve">☐  </w:t>
      </w:r>
      <w:r>
        <w:rPr>
          <w:b/>
        </w:rPr>
        <w:t xml:space="preserve">19.1  </w:t>
      </w:r>
      <w:r>
        <w:rPr>
          <w:b/>
        </w:rPr>
        <w:t xml:space="preserve">No non-competes at or below the wage line</w:t>
      </w:r>
      <w:r>
        <w:t xml:space="preserve"> — Prohibited (MUST NOT)</w:t>
      </w:r>
    </w:p>
    <w:p>
      <w:pPr>
        <w:spacing w:before="0" w:after="120"/>
        <w:ind w:left="540"/>
      </w:pPr>
      <w:r>
        <w:t xml:space="preserve">Check the worker's pay first. A noncompete or conflict-of-interest provision is null and void for an employee earning 150% or less of the State minimum wage — and with the minimum wage at fifteen dollars per hour since January 1, 2024, the covered ceiling sits at twenty-two dollars and fifty cents per hour. For a worker at or under that line, no drafting fixes the covenant; the protection plan has to run through the client-list and trade-secret terms instead. </w:t>
      </w:r>
    </w:p>
    <w:p>
      <w:pPr>
        <w:keepNext/>
        <w:spacing w:before="200" w:after="80"/>
      </w:pPr>
      <w:r>
        <w:rPr>
          <w:rFonts w:ascii="Segoe UI Symbol" w:hAnsi="Segoe UI Symbol"/>
        </w:rPr>
        <w:t xml:space="preserve">☐  </w:t>
      </w:r>
      <w:r>
        <w:rPr>
          <w:b/>
        </w:rPr>
        <w:t xml:space="preserve">19.2  </w:t>
      </w:r>
      <w:r>
        <w:rPr>
          <w:b/>
        </w:rPr>
        <w:t xml:space="preserve">No veterinary non-competes</w:t>
      </w:r>
      <w:r>
        <w:t xml:space="preserve"> — Prohibited (MUST NOT)</w:t>
      </w:r>
    </w:p>
    <w:p>
      <w:pPr>
        <w:spacing w:before="0" w:after="120"/>
        <w:ind w:left="540"/>
      </w:pPr>
      <w:r>
        <w:t xml:space="preserve">A covenant is void for an employee licensed as a veterinary practitioner or veterinary technician, at any compensation level — and unlike the health care expansion, this ban reaches backward: the 2024 act construes it to apply to agreements entered into on or before its effective date. An old veterinary covenant in the file is not grandfathered; it is simply unenforceable. </w:t>
      </w:r>
    </w:p>
    <w:p>
      <w:pPr>
        <w:keepNext/>
        <w:spacing w:before="200" w:after="80"/>
      </w:pPr>
      <w:r>
        <w:rPr>
          <w:rFonts w:ascii="Segoe UI Symbol" w:hAnsi="Segoe UI Symbol"/>
        </w:rPr>
        <w:t xml:space="preserve">☐  </w:t>
      </w:r>
      <w:r>
        <w:rPr>
          <w:b/>
        </w:rPr>
        <w:t xml:space="preserve">19.3  </w:t>
      </w:r>
      <w:r>
        <w:rPr>
          <w:b/>
        </w:rPr>
        <w:t xml:space="preserve">No non-competes for most patient-care clinicians</w:t>
      </w:r>
      <w:r>
        <w:t xml:space="preserve"> — Prohibited (MUST NOT)</w:t>
      </w:r>
    </w:p>
    <w:p>
      <w:pPr>
        <w:spacing w:before="0" w:after="120"/>
        <w:ind w:left="540"/>
      </w:pPr>
      <w:r>
        <w:t xml:space="preserve">For agreements executed on or after July 1, 2025, a covenant is void for an employee who must be licensed under the Health Occupations Article, works in a position providing direct patient care, and earns $350,000 or less in total annual compensation. Run all three elements — the class is defined by license, duties, and pay, not by job title, and it sweeps in nurses, therapists, technicians, and every other licensed direct-care role, not just physicians. </w:t>
      </w:r>
    </w:p>
    <w:p>
      <w:pPr>
        <w:keepNext/>
        <w:spacing w:before="200" w:after="80"/>
      </w:pPr>
      <w:r>
        <w:rPr>
          <w:rFonts w:ascii="Segoe UI Symbol" w:hAnsi="Segoe UI Symbol"/>
        </w:rPr>
        <w:t xml:space="preserve">☐  </w:t>
      </w:r>
      <w:r>
        <w:rPr>
          <w:b/>
        </w:rPr>
        <w:t xml:space="preserve">19.4  </w:t>
      </w:r>
      <w:r>
        <w:rPr>
          <w:b/>
        </w:rPr>
        <w:t xml:space="preserve">One year and ten miles for high-earning clinicians</w:t>
      </w:r>
      <w:r>
        <w:t xml:space="preserve"> — Prohibited (MUST NOT)</w:t>
      </w:r>
    </w:p>
    <w:p>
      <w:pPr>
        <w:spacing w:before="0" w:after="120"/>
        <w:ind w:left="540"/>
      </w:pPr>
      <w:r>
        <w:t xml:space="preserve">Above the $350,000 line, the direct-patient-care covenant survives only inside hard ceilings: no longer than one year from the last day of employment, and no farther than ten miles from the primary place of employment. Measure the drafted term and radius against both numbers — then remember the cap is a ceiling, not a safe harbor, and the covenant still has to pass the ordinary reasonableness test on its own facts. </w:t>
      </w:r>
    </w:p>
    <w:p>
      <w:pPr>
        <w:keepNext/>
        <w:spacing w:before="200" w:after="80"/>
      </w:pPr>
      <w:r>
        <w:rPr>
          <w:rFonts w:ascii="Segoe UI Symbol" w:hAnsi="Segoe UI Symbol"/>
        </w:rPr>
        <w:t xml:space="preserve">☐  </w:t>
      </w:r>
      <w:r>
        <w:rPr>
          <w:b/>
        </w:rPr>
        <w:t xml:space="preserve">19.5  </w:t>
      </w:r>
      <w:r>
        <w:rPr>
          <w:b/>
        </w:rPr>
        <w:t xml:space="preserve">Patients told where the clinician went</w:t>
      </w:r>
      <w:r>
        <w:t xml:space="preserve"> — Required (MUST)</w:t>
      </w:r>
    </w:p>
    <w:p>
      <w:pPr>
        <w:spacing w:before="0" w:after="120"/>
        <w:ind w:left="540"/>
      </w:pPr>
      <w:r>
        <w:t xml:space="preserve">The clinician cap travels with a duty: on a patient's request, the employer must say where the departing clinician will be practicing. The obligation belongs to the employer, not the worker, so confirm there is an operational process behind it — intake staff who know the answer and are allowed to give it — rather than a covenant drafted as if patient questions will never come. </w:t>
      </w:r>
    </w:p>
    <w:p>
      <w:pPr>
        <w:keepNext/>
        <w:spacing w:before="200" w:after="80"/>
      </w:pPr>
      <w:r>
        <w:rPr>
          <w:rFonts w:ascii="Segoe UI Symbol" w:hAnsi="Segoe UI Symbol"/>
        </w:rPr>
        <w:t xml:space="preserve">☐  </w:t>
      </w:r>
      <w:r>
        <w:rPr>
          <w:b/>
        </w:rPr>
        <w:t xml:space="preserve">19.6  </w:t>
      </w:r>
      <w:r>
        <w:rPr>
          <w:b/>
        </w:rPr>
        <w:t xml:space="preserve">Protection through client lists and trade secrets</w:t>
      </w:r>
      <w:r>
        <w:t xml:space="preserve"> — Recommended (SHOULD)</w:t>
      </w:r>
    </w:p>
    <w:p>
      <w:pPr>
        <w:spacing w:before="0" w:after="120"/>
        <w:ind w:left="540"/>
      </w:pPr>
      <w:r>
        <w:t xml:space="preserve">Where the statute voids the covenant, check what remains: the void rule expressly spares provisions about the taking or use of client or patient lists and other proprietary client information, and the trade-secret act adds injunctions plus exemplary damages — up to twice the compensatory award for willful and malicious misappropriation — none of it contingent on an enforceable non-compete. For a protected worker, those terms are the protection plan; confirm they are drafted to stand alone. </w:t>
      </w:r>
    </w:p>
    <w:p>
      <w:pPr>
        <w:keepNext/>
        <w:spacing w:before="200" w:after="80"/>
      </w:pPr>
      <w:r>
        <w:rPr>
          <w:rFonts w:ascii="Segoe UI Symbol" w:hAnsi="Segoe UI Symbol"/>
        </w:rPr>
        <w:t xml:space="preserve">☐  </w:t>
      </w:r>
      <w:r>
        <w:rPr>
          <w:b/>
        </w:rPr>
        <w:t xml:space="preserve">19.7  </w:t>
      </w:r>
      <w:r>
        <w:rPr>
          <w:b/>
        </w:rPr>
        <w:t xml:space="preserve">Architect employees after an out-of-state move</w:t>
      </w:r>
      <w:r>
        <w:t xml:space="preserve"> — Prohibited (MUST NOT)</w:t>
      </w:r>
    </w:p>
    <w:p>
      <w:pPr>
        <w:spacing w:before="0" w:after="120"/>
        <w:ind w:left="540"/>
      </w:pPr>
      <w:r>
        <w:t xml:space="preserve">Enacted but not yet begun: for agreements executed on or after October 1, 2026, the void rule extends to employees of a licensed architect whose employer, after employing more than 30 workers based mainly in Maryland, moves the majority of that workforce out of state or gives up its Maryland principal place of business. The provision is narrow and prospective only — but the same act renumbers the statute's subsections, so check which version of the section any covenant cites. </w:t>
      </w:r>
    </w:p>
    <w:p>
      <w:pPr>
        <w:spacing w:before="360" w:after="0"/>
      </w:pPr>
      <w:r>
        <w:rPr>
          <w:color w:val="666666"/>
          <w:sz w:val="16"/>
          <w:szCs w:val="16"/>
        </w:rPr>
        <w:t xml:space="preserve">Steven Obiajulu, J.D. edits this review checklist for Maryland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