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Massachusetts</w:t>
      </w:r>
    </w:p>
    <w:p>
      <w:pPr>
        <w:spacing w:before="0" w:after="120"/>
      </w:pPr>
      <w:r>
        <w:rPr>
          <w:i/>
          <w:color w:val="444444"/>
        </w:rPr>
        <w:t xml:space="preserve">A clause-by-clause reviewer checklist for Massachusetts employee restrictive covenant agreements — confidentiality, non-solicits, non-competes, and non-disparagement under the Noncompetition Agreement Act, G.L. c. 149, § 24L, and Massachusetts case law.</w:t>
      </w:r>
    </w:p>
    <w:p>
      <w:pPr>
        <w:spacing w:before="0" w:after="240"/>
      </w:pPr>
      <w:r>
        <w:rPr>
          <w:color w:val="666666"/>
          <w:sz w:val="18"/>
          <w:szCs w:val="18"/>
        </w:rPr>
        <w:t xml:space="preserve">By Steven Obiajulu, J.D. Last reviewed 2026-06-11. License: CC BY 4.0. https://openagreements.org/checklists/non-compete/us/massachusetts</w:t>
      </w:r>
    </w:p>
    <w:p>
      <w:pPr>
        <w:keepNext/>
        <w:spacing w:before="360" w:after="160"/>
      </w:pPr>
      <w:r>
        <w:rPr>
          <w:b/>
          <w:sz w:val="28"/>
          <w:szCs w:val="28"/>
        </w:rPr>
        <w:t xml:space="preserve">1. Parties and cover-term identification</w:t>
      </w:r>
    </w:p>
    <w:p>
      <w:pPr>
        <w:spacing w:before="0" w:after="120"/>
      </w:pPr>
      <w:r>
        <w:t xml:space="preserve">Every item below reads the agreement the way a Massachusetts court would — against a 2018 statute that conditions a non-compete on paid garden leave or other specified consideration, a 12-month ceiling, and strict formation formalities, while leaving non-solicits and confidentiality clauses outside those rules. For the question-by-question legal analysis behind these items, see the </w:t>
      </w:r>
      <w:r>
        <w:t xml:space="preserve">Massachusetts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Match the employer named in the cover terms against the entity that actually employs the worker. The statute regulates an agreement between an employer and an employee, and a Massachusetts trial court has already declined to enforce a covenant that ran to a parent holding company instead of the operating employer — so a mismatched counterparty is a live enforceability defect here, not a formality.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the agreement was entered into selects the legal regime: covenants signed on or after October 1, 2018 are governed by the Noncompetition Agreement Act and its validity stack, while older covenants stay under common-law reasonableness. An undated instrument leaves that threshold open — and an updated or re-signed covenant becomes a new agreement tested under the act.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and how the position is classified. In Massachusetts the worker's status can decide the covenant outright: an employee who is nonexempt under the Fair Labor Standards Act cannot be bound at all, so the recorded title and duties are the first evidence in that exclusion analysis.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Confirm the governing state is stated — and treat a foreign choice of law for a Massachusetts-based worker as presumptively ineffective. The act voids any choice-of-law provision that would avoid its requirements for an employee who lived or worked in Massachusetts for the 30 days before leaving, so the selection cannot launder a non-compliant covenant.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The confidentiality definition is the foundation for one of the only three interests a Massachusetts non-compete may protect — confidential information that falls short of a trade secret. A definition that sweeps in general skills or industry knowledge weakens the no-broader-than-necessary showing the statute demands, so look for stated categories plus the usual public-knowledge exclusions.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in terms that track the Massachusetts Uniform Trade Secrets Act's broad statutory definition. The separation matters twice here: trade secrets are the first enumerated interest a non-compete may protect, and the trade-secret backstop is often the more reliable remedy when the covenant itself fails one of the act's gates.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umbrella defined term keeps the statutory duration math auditable. Massachusetts caps the stated restricted period at 12 months from cessation of employment, so a stray clause running on its own longer clock is not just untidy drafting — it is a validity defect in the covenant it controls.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The common-law reasonableness test still operates underneath the statute: a covenant must be reasonably limited in time and space and consonant with the public interest. Tie the territory to where the worker actually built goodwill or used protected information, not to the employer's entire footprint.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clients, and vendors the worker actually dealt with during a stated look-back window. Customer non-solicits sit outside the Noncompetition Agreement Act — no garden leave, no 12-month cap — and a tight covered-customer definition is what keeps the clause comfortably on that side of the line and defensible under ordinary reasonableness review.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Limit the no-poach class to colleagues the departing worker actually worked with or supervised during the look-back window. Covenants not to solicit or hire the employer's employees are likewise excluded from the act, so they escape its consideration and duration rules — but a class covering the whole workforce still has to survive common-law scrutiny on its own.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Massachusetts gives this definition a closed statutory menu: trade secrets, confidential information that is not a trade secret, and goodwill. The agreement should name which of the three each covenant serves — anything outside the menu adds breadth without adding enforceability.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actual competing activity narrowly. Massachusetts courts have said for decades that a former employer cannot use a contract to restrain ordinary competition, so a competitive-business definition that reads as a ban on working in the industry undercuts the covenant's necessity showing from the start.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of or investment in competitors is restricted, check for a passive-holdings carve-out below a stated threshold. Owning a few public shares protects no trade secret and no goodwill, so a clause that forbids it is facial overbreadth — and while a Massachusetts judge has discretion to trim, a reviewer should never leave the covenant depending on that mercy.</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An optional drafting mechanic — many agreements inline the carve-out without a capitalized term. If the defined term exists, verify its ownership threshold matches the operative carve-out language elsewhere in the agreement.</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down whether solicitation means initiating contact, accepting business, or both. In Massachusetts the definition also polices a statutory boundary: the Supreme Judicial Court reads the act by its plain language, with non-solicitation agreements outside it — so a clean definition keeps the clause, and any forfeiture provision keyed to it, out of the act's garden-leave and duration rules.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Confirm the trigger covers resignation, dismissal, and expiration of a fixed term, because the statutory clock runs from the date of cessation of employment. Keep in mind that in Massachusetts the manner of termination can matter more than the definition: a worker laid off or terminated without cause cannot be held to the non-compete at all.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Statutory delivery timing and consideration</w:t>
      </w:r>
      <w:r>
        <w:t xml:space="preserve"> — Required (MUST)</w:t>
      </w:r>
    </w:p>
    <w:p>
      <w:pPr>
        <w:spacing w:before="0" w:after="120"/>
        <w:ind w:left="540"/>
      </w:pPr>
      <w:r>
        <w:t xml:space="preserve">Verify the formation timeline against the statute, by posture. A new hire's covenant must have been delivered by the earlier of the formal offer or 10 business days before the start date; a covenant signed during employment needs fair and reasonable consideration independent from simply keeping the job, plus at least 10 business days of advance notice. The agreement should recite the delivery date, signing date, and the consideration exchanged, because those facts decide validity — continued employment alone no longer carries a mid-employment covenant here. </w:t>
      </w:r>
    </w:p>
    <w:p>
      <w:pPr>
        <w:keepNext/>
        <w:spacing w:before="200" w:after="80"/>
      </w:pPr>
      <w:r>
        <w:rPr>
          <w:rFonts w:ascii="Segoe UI Symbol" w:hAnsi="Segoe UI Symbol"/>
        </w:rPr>
        <w:t xml:space="preserve">☐  </w:t>
      </w:r>
      <w:r>
        <w:rPr>
          <w:b/>
        </w:rPr>
        <w:t xml:space="preserve">3.2  </w:t>
      </w:r>
      <w:r>
        <w:rPr>
          <w:b/>
        </w:rPr>
        <w:t xml:space="preserve">Right-to-counsel statement on the face of the agreement</w:t>
      </w:r>
      <w:r>
        <w:t xml:space="preserve"> — Required (MUST)</w:t>
      </w:r>
    </w:p>
    <w:p>
      <w:pPr>
        <w:spacing w:before="0" w:after="120"/>
        <w:ind w:left="540"/>
      </w:pPr>
      <w:r>
        <w:t xml:space="preserve">Look for an express sentence telling the employee they have the right to consult counsel before signing. For an at-hire covenant this statement is a statutory minimum — its absence is a validity defect, not a style point — and the agreement must also be in writing and signed by both parties. The cautious practice is to keep the sentence in mid-employment covenants too.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run for as long as secrecy persists — that is how the law defines the right, federally and under the Massachusetts trade-secrets act. The point carries practical weight here: when a non-compete dies on one of the statutory gates, the perpetual trade-secret obligation is often what remains standing.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separate from the perpetual trade-secret obligation. Confidentiality agreements escape the Noncompetition Agreement Act entirely, but a perpetual restraint on non-secret information still reads as overreach under ordinary contract scrutiny — and overreach in the definitions bleeds into the no-broader-than-necessary analysis of any covenant relying on them.</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Required by federal law in Massachusetts as everywhere else. An employer that omits the immunity notice forfeits exemplary damages and attorney fees in a later federal trade-secret suit against the worker — a meaningful loss in a state where trade-secret claims so often do the work a capped non-compete cannot.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Wage-and-working-conditions speech is federally protected, and confidentiality and non-disparagement language must yield to it. The Board's recent decisions strike overbroad clauses regardless of which state's law the contract selects, so verify the carve-out is present and not contradicted elsewhere.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Verify the carve-out for disclosure required by law, court order, or a government investigation, with notice to the employer where lawful. No contract overrides compelled process; the carve-out keeps the worker from being squeezed between a subpoena and a confidentiality clause.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Return-or-destroy at separation, certified in writing. This clause has unusual leverage in Massachusetts: the unlawful taking of employer property is one of only two events that let the restricted period run beyond 12 months, so a clean return-and-certification record is the evidence base for invoking — or rebutting — that extension.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 and in Massachusetts, deliberately cheaper than a non-compete. Covenants not to solicit or hire the employer's employees fall outside the Noncompetition Agreement Act, so they need no garden leave and face no 12-month cap; confirm the clause is scoped to the defined covered-employee class and a stated period so it stays defensible under ordinary reasonableness review.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When present, confirm it reaches only covered customers for the stated period. The Supreme Judicial Court has confirmed that non-solicitation agreements sit outside the act by its plain language — which is exactly why employers lean on them when a statutory non-compete is too expensive or unavailable, and why the clause should be drafted to stand on its own.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make the first call. Massachusetts expressly excludes covenants not to transact business with customers, clients, or vendors from the act's definition, so the clause escapes the statutory gates — but because it restrains more conduct than a pure non-solicit, scope it to actual relationships and a sensible look-back to keep it reasonable.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true non-compete appears, the full statutory stack applies: eight minimum validity requirements, including the consideration, duration, scope, and formation items in this checklist. Remember the act reaches independent contractors as well as employees, so re-papering the worker as a contractor changes nothing. Route the review through the Massachusetts statutory-gate items at the end of this checklist before anything else about the clause.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A named-competitor list is the cleanest way to satisfy the statute's command that the covenant be no broader than necessary. Naming the handful of firms where the worker's knowledge would actually matter converts an industry-wide restraint into a targeted one — and saves the employer from asking a judge to exercise reformation discretion later.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runs on the shared restricted period. An investment restraint broad enough to function as a competition ban risks being treated as a noncompetition agreement subject to the act's consideration and duration rules, so keep it visibly narrower than that line.</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inclusion with a stated term, but the carve-outs do the legal work: truthful testimony, statements to government agencies, and protected workplace speech must stay outside the clause's reach. Federal labor law polices this line no matter what Massachusetts contract law would tolerate, and the Board has struck broadly drafted versions.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plainly that no provision restricts a physician's right to practice medicine after separation — Massachusetts voids such restrictions by statute while leaving the rest of the contract intact, and parallel bans protect nurses, psychologists, and social workers. For health-care workers the review focus shifts to what remains: confidentiality, non-solicits, and trade-secret protection.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In Massachusetts the answer is often more nuanced than yes or no: a prior covenant may already be unenforceable because the worker was laid off, was nonexempt, or held a protected profession — so the representation should surface the prior paper itself, letting counsel assess it rather than assume it binds.</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If the clause appears, condition any disclosure on a reasonable belief that an enforceable covenant is actually being breached — telling a new employer about a non-compete that died with a layoff or failed the act's consideration rules invites a tortious-interference claim rather than deterring one.</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expressly whether the clock pauses during a breach, because no court will add it later: Massachusetts strongly disfavors equitable extension of a covenant past its plain terms, and the First Circuit has told employers in so many words that tolling during litigation is something to contract for, not request. Then check the arithmetic — the statute's only built-in extension is the misconduct trigger reaching up to 2 years, and an express tolling clause has to keep the total restraint inside that cap structure.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Timing gives it bite in Massachusetts: once the 12-month restricted period runs out, specific relief is off the table and the employer is left with damages — so the recital, and fast enforcement, are what make the short statutory window usable.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Fee-shifting stays a commercial choice for a Massachusetts non-compete — the act adds no covenant-specific fee rule, so the American Rule applies if the contract is silent. If the clause appears, check that it is mutual and keyed to prevailing-party status rather than one-way in the employer's favor.</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Court may narrow an overbroad covenant</w:t>
      </w:r>
      <w:r>
        <w:t xml:space="preserve"> — Recommended (SHOULD)</w:t>
      </w:r>
    </w:p>
    <w:p>
      <w:pPr>
        <w:spacing w:before="0" w:after="120"/>
        <w:ind w:left="540"/>
      </w:pPr>
      <w:r>
        <w:t xml:space="preserve">Reformation-friendly savings language fits Massachusetts law: the statute expressly lets a court, in its discretion, reform or revise a noncompetition agreement to make it valid and enforceable. The discipline point runs the other way — discretion is not a promise, so a reviewer should treat the savings clause as a safety net under an already-reasonable covenant, never as license to draft to the outer edge and hope the judge trims.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and Massachusetts forces the clocks apart by design: the non-compete is capped at 12 months, while non-solicits and confidentiality obligations sit outside the act and can lawfully run longer. Bundled survival language is how a capped covenant quietly inherits an uncapped term, so unbundle and verify each one.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Massachusetts wrinkle is the employer-identity question: because the act regulates the agreement between the employer and the employee, a restructuring that leaves the covenant held by an entity other than the actual employing company hands the worker the same defense that has already defeated a parent-company enforcement attempt here.</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No law-shopping; venue in the worker's county</w:t>
      </w:r>
      <w:r>
        <w:t xml:space="preserve"> — Prohibited (MUST NOT)</w:t>
      </w:r>
    </w:p>
    <w:p>
      <w:pPr>
        <w:spacing w:before="0" w:after="120"/>
        <w:ind w:left="540"/>
      </w:pPr>
      <w:r>
        <w:t xml:space="preserve">The clause must not select another state's law as a way around the act — the statute voids any choice-of-law provision that would avoid its requirements for a worker who lived or was employed in Massachusetts for the 30 days before leaving. Venue is fixed too: suits over a covered non-compete belong in the employee's county of residence or, by mutual agreement, in Suffolk County, so check the forum clause against that rule. And selecting Massachusetts law is no universal shield either — the Supreme Judicial Court has refused to apply it where doing so would offend the fundamental public policy of the state whose law should govern.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Massachusetts twist: how changes get made can decide whether the covenant survives them. Courts here have treated far-reaching changes in pay and position as evidence the parties abandoned the old contract — non-compete included — and formed a new one, so the amendment mechanics should anticipate re-execution on material role changes rather than assume the original paper rolls forward. </w:t>
      </w:r>
    </w:p>
    <w:p>
      <w:pPr>
        <w:keepNext/>
        <w:spacing w:before="360" w:after="160"/>
      </w:pPr>
      <w:r>
        <w:rPr>
          <w:b/>
          <w:sz w:val="28"/>
          <w:szCs w:val="28"/>
        </w:rPr>
        <w:t xml:space="preserve">19. Massachusetts statutory gates (G.L. c. 149, § 24L)</w:t>
      </w:r>
    </w:p>
    <w:p>
      <w:pPr>
        <w:spacing w:before="0" w:after="120"/>
      </w:pPr>
      <w:r>
        <w:t xml:space="preserve">The seven items below exist only on this Massachusetts page: they implement the Noncompetition Agreement Act's validity conditions and the case-law rules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Garden leave or specified consideration</w:t>
      </w:r>
      <w:r>
        <w:t xml:space="preserve"> — Required (MUST)</w:t>
      </w:r>
    </w:p>
    <w:p>
      <w:pPr>
        <w:spacing w:before="0" w:after="120"/>
        <w:ind w:left="540"/>
      </w:pPr>
      <w:r>
        <w:t xml:space="preserve">A Massachusetts non-compete has to be bought. Verify the agreement contains either a garden leave clause — pro-rata payments across the entire restricted period of at least half the worker's highest annualized base salary from the prior two years — or other mutually agreed consideration that the agreement itself spells out. The statute never defines how small that alternative consideration can be, so treat a token payment as unresolved risk and size it against the garden-leave benchmark. </w:t>
      </w:r>
    </w:p>
    <w:p>
      <w:pPr>
        <w:keepNext/>
        <w:spacing w:before="200" w:after="80"/>
      </w:pPr>
      <w:r>
        <w:rPr>
          <w:rFonts w:ascii="Segoe UI Symbol" w:hAnsi="Segoe UI Symbol"/>
        </w:rPr>
        <w:t xml:space="preserve">☐  </w:t>
      </w:r>
      <w:r>
        <w:rPr>
          <w:b/>
        </w:rPr>
        <w:t xml:space="preserve">19.2  </w:t>
      </w:r>
      <w:r>
        <w:rPr>
          <w:b/>
        </w:rPr>
        <w:t xml:space="preserve">Restricted period within the 12-month ceiling</w:t>
      </w:r>
      <w:r>
        <w:t xml:space="preserve"> — Prohibited (MUST NOT)</w:t>
      </w:r>
    </w:p>
    <w:p>
      <w:pPr>
        <w:spacing w:before="0" w:after="120"/>
        <w:ind w:left="540"/>
      </w:pPr>
      <w:r>
        <w:t xml:space="preserve">The stated restricted period cannot exceed 12 months from the end of employment — full stop, as drafted. The only path past it is the misconduct trigger: a breach of fiduciary duty or the unlawful taking of employer property allows a duration of up to 2 years. Audit every covenant clock against the ceiling, including any tolling or extension mechanics that could push the effective restraint over it. </w:t>
      </w:r>
    </w:p>
    <w:p>
      <w:pPr>
        <w:keepNext/>
        <w:spacing w:before="200" w:after="80"/>
      </w:pPr>
      <w:r>
        <w:rPr>
          <w:rFonts w:ascii="Segoe UI Symbol" w:hAnsi="Segoe UI Symbol"/>
        </w:rPr>
        <w:t xml:space="preserve">☐  </w:t>
      </w:r>
      <w:r>
        <w:rPr>
          <w:b/>
        </w:rPr>
        <w:t xml:space="preserve">19.3  </w:t>
      </w:r>
      <w:r>
        <w:rPr>
          <w:b/>
        </w:rPr>
        <w:t xml:space="preserve">Scope tied to the three statutory interests</w:t>
      </w:r>
      <w:r>
        <w:t xml:space="preserve"> — Required (MUST)</w:t>
      </w:r>
    </w:p>
    <w:p>
      <w:pPr>
        <w:spacing w:before="0" w:after="120"/>
        <w:ind w:left="540"/>
      </w:pPr>
      <w:r>
        <w:t xml:space="preserve">Trace each restriction back to one of the three interests the statute permits: trade secrets, confidential information that is not a trade secret, or goodwill. Anything that cannot be traced — industry-wide bans, restraints on roles the worker never held — is breadth beyond necessity, and the case law has always refused to let a contract restrain ordinary competition. </w:t>
      </w:r>
    </w:p>
    <w:p>
      <w:pPr>
        <w:keepNext/>
        <w:spacing w:before="200" w:after="80"/>
      </w:pPr>
      <w:r>
        <w:rPr>
          <w:rFonts w:ascii="Segoe UI Symbol" w:hAnsi="Segoe UI Symbol"/>
        </w:rPr>
        <w:t xml:space="preserve">☐  </w:t>
      </w:r>
      <w:r>
        <w:rPr>
          <w:b/>
        </w:rPr>
        <w:t xml:space="preserve">19.4  </w:t>
      </w:r>
      <w:r>
        <w:rPr>
          <w:b/>
        </w:rPr>
        <w:t xml:space="preserve">No non-compete for excluded workers</w:t>
      </w:r>
      <w:r>
        <w:t xml:space="preserve"> — Prohibited (MUST NOT)</w:t>
      </w:r>
    </w:p>
    <w:p>
      <w:pPr>
        <w:spacing w:before="0" w:after="120"/>
        <w:ind w:left="540"/>
      </w:pPr>
      <w:r>
        <w:t xml:space="preserve">The agreement must not impose a non-compete on the statute's four protected categories: workers who are nonexempt under federal wage law, student interns, workers terminated without cause or laid off, and workers 18 or younger. The layoff rule deserves special attention in review — it means the employer's own decision to end the relationship without cause dissolves the covenant, and because the statute never defines what counts as cause, any non-misconduct separation should be treated as likely freeing the worker. </w:t>
      </w:r>
    </w:p>
    <w:p>
      <w:pPr>
        <w:keepNext/>
        <w:spacing w:before="200" w:after="80"/>
      </w:pPr>
      <w:r>
        <w:rPr>
          <w:rFonts w:ascii="Segoe UI Symbol" w:hAnsi="Segoe UI Symbol"/>
        </w:rPr>
        <w:t xml:space="preserve">☐  </w:t>
      </w:r>
      <w:r>
        <w:rPr>
          <w:b/>
        </w:rPr>
        <w:t xml:space="preserve">19.5  </w:t>
      </w:r>
      <w:r>
        <w:rPr>
          <w:b/>
        </w:rPr>
        <w:t xml:space="preserve">No practice restraints on protected professions</w:t>
      </w:r>
      <w:r>
        <w:t xml:space="preserve"> — Prohibited (MUST NOT)</w:t>
      </w:r>
    </w:p>
    <w:p>
      <w:pPr>
        <w:spacing w:before="0" w:after="120"/>
        <w:ind w:left="540"/>
      </w:pPr>
      <w:r>
        <w:t xml:space="preserve">Separate statutes — older than the 2018 act and untouched by it — void any restriction on the post-separation practice of physicians, nurses, psychologists, and social workers, and void most broadcasting-industry covenants when the employer ends the relationship, the parties part by mutual agreement, or the contract expires. There is no garden-leave cure for these; if the worker holds a protected profession, the restraint comes out, and a violating broadcast employer additionally owes the worker's attorneys' fees. </w:t>
      </w:r>
    </w:p>
    <w:p>
      <w:pPr>
        <w:keepNext/>
        <w:spacing w:before="200" w:after="80"/>
      </w:pPr>
      <w:r>
        <w:rPr>
          <w:rFonts w:ascii="Segoe UI Symbol" w:hAnsi="Segoe UI Symbol"/>
        </w:rPr>
        <w:t xml:space="preserve">☐  </w:t>
      </w:r>
      <w:r>
        <w:rPr>
          <w:b/>
        </w:rPr>
        <w:t xml:space="preserve">19.6  </w:t>
      </w:r>
      <w:r>
        <w:rPr>
          <w:b/>
        </w:rPr>
        <w:t xml:space="preserve">Fresh covenant after a material role change</w:t>
      </w:r>
      <w:r>
        <w:t xml:space="preserve"> — Recommended (SHOULD)</w:t>
      </w:r>
    </w:p>
    <w:p>
      <w:pPr>
        <w:spacing w:before="0" w:after="120"/>
        <w:ind w:left="540"/>
      </w:pPr>
      <w:r>
        <w:t xml:space="preserve">Ask when the covenant was signed relative to the worker's current role. Massachusetts courts have treated far-reaching changes in pay and position as abandoning the original contract — and the covenant inside it — so an agreement signed several promotions ago may no longer bind. The conservative practice is a fresh, statute-compliant covenant at each material change, which also re-triggers the act's notice and consideration rules. </w:t>
      </w:r>
    </w:p>
    <w:p>
      <w:pPr>
        <w:keepNext/>
        <w:spacing w:before="200" w:after="80"/>
      </w:pPr>
      <w:r>
        <w:rPr>
          <w:rFonts w:ascii="Segoe UI Symbol" w:hAnsi="Segoe UI Symbol"/>
        </w:rPr>
        <w:t xml:space="preserve">☐  </w:t>
      </w:r>
      <w:r>
        <w:rPr>
          <w:b/>
        </w:rPr>
        <w:t xml:space="preserve">19.7  </w:t>
      </w:r>
      <w:r>
        <w:rPr>
          <w:b/>
        </w:rPr>
        <w:t xml:space="preserve">Direct employer signs, not a parent entity</w:t>
      </w:r>
      <w:r>
        <w:t xml:space="preserve"> — Recommended (SHOULD)</w:t>
      </w:r>
    </w:p>
    <w:p>
      <w:pPr>
        <w:spacing w:before="0" w:after="120"/>
        <w:ind w:left="540"/>
      </w:pPr>
      <w:r>
        <w:t xml:space="preserve">Confirm the covenant runs to the entity that actually employs the worker. A Massachusetts trial court has refused preliminary relief on a non-compete tucked into equity paperwork signed with a parent holding company, reasoning that the statutory term for employer has never been read to cover a parent corporation. The ruling is persuasive rather than binding — but the fix at signing costs nothing, and the defect at enforcement may cost the covenant. </w:t>
      </w:r>
    </w:p>
    <w:p>
      <w:pPr>
        <w:spacing w:before="360" w:after="0"/>
      </w:pPr>
      <w:r>
        <w:rPr>
          <w:color w:val="666666"/>
          <w:sz w:val="16"/>
          <w:szCs w:val="16"/>
        </w:rPr>
        <w:t xml:space="preserve">Steven Obiajulu, J.D. edits this review checklist for Massachusetts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