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Mississippi</w:t>
      </w:r>
    </w:p>
    <w:p>
      <w:pPr>
        <w:spacing w:before="0" w:after="120"/>
      </w:pPr>
      <w:r>
        <w:rPr>
          <w:i/>
          <w:color w:val="444444"/>
        </w:rPr>
        <w:t xml:space="preserve">A clause-by-clause reviewer checklist for Mississippi employee restrictive covenant agreements — confidentiality, non-solicits, non-competes, and non-disparagement under the Texas Road Boring reasonableness balance, the Empiregas bad-faith-termination defense, and the Frierson and Cascio tolling split.</w:t>
      </w:r>
    </w:p>
    <w:p>
      <w:pPr>
        <w:spacing w:before="0" w:after="240"/>
      </w:pPr>
      <w:r>
        <w:rPr>
          <w:color w:val="666666"/>
          <w:sz w:val="18"/>
          <w:szCs w:val="18"/>
        </w:rPr>
        <w:t xml:space="preserve">By Steven Obiajulu, J.D. Last reviewed 2026-06-12. License: CC BY 4.0. https://openagreements.org/checklists/non-compete/us/mississippi</w:t>
      </w:r>
    </w:p>
    <w:p>
      <w:pPr>
        <w:keepNext/>
        <w:spacing w:before="360" w:after="160"/>
      </w:pPr>
      <w:r>
        <w:rPr>
          <w:b/>
          <w:sz w:val="28"/>
          <w:szCs w:val="28"/>
        </w:rPr>
        <w:t xml:space="preserve">1. Parties and cover-term identification</w:t>
      </w:r>
    </w:p>
    <w:p>
      <w:pPr>
        <w:spacing w:before="0" w:after="120"/>
      </w:pPr>
      <w:r>
        <w:t xml:space="preserve">Review every item below the way a Mississippi chancery court would: there is no non-compete statute, the covenant is a disfavored restraint construed strictly against the drafting employer, the employer carries the burden of proving the restraint reasonable — and enforcement itself is forfeited if the employee was fired in bad faith. For the question-by-question legal analysis behind these items, see the </w:t>
      </w:r>
      <w:r>
        <w:t xml:space="preserve">Mississippi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Name both parties precisely, then ask what relationship the signing parties actually create: Mississippi reviews an employment covenant strictly, while a covenant tied to a business sale or an ownership buyout earns more favorable treatment — an LLC member remained bound by an operating agreement's non-compete even after his interest was bought out. Check capacity too: a worker who signed as a minor and disaffirmed the agreement cannot be bound by it.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Confirm a stated effective date and reconcile it with the signing date. Every covenant clock in the agreement runs from a defined date, and in a state where a court will not add time at the back end of an expired restraint, the dates as written are the only dates the employer gets.</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actual duties, because Mississippi measures the permissible restraint against the employee's real influence rather than the organization chart: a statewide restriction failed where the employee's protectable customer relationships were confined to one local area.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which state's law the agreement selects, because the selection decides whether the rules on this page govern at all. The practice note stages no Mississippi authority on choice-of-law or forum-selection fights, so treat an out-of-state selection in a Mississippi employment relationship as a flag for counsel review rather than a question this checklist can resolve.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Confirm the defined term covers information that is genuinely confidential rather than general skill and industry knowledge. Mississippi protects proprietary information by statute under its Uniform Trade Secrets Act independent of any contract, so the contractual definition is the layer that covers valuable information falling short of trade-secret status.</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a separate defined term from Confidential Information. The statutory trade-secret remedy — injunctive relief and damages under the Mississippi Uniform Trade Secrets Act — does not depend on a valid covenant, and a separate definition is what lets the perpetual trade-secret track run apart from the finite confidentiality term.</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Audit the umbrella Restricted Period against the termination event it runs from: in Mississippi the restricted period runs from the contractual termination date, and a court may not extend the time beyond the date the contract sets. The period as drafted is the period the employer gets, unless an express extension clause says otherwise.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territory to the employer's actual footprint and the employee's real reach: a statewide restraint was unreasonable where the employee's protectable influence stopped at one local market. Remember the converse as well — a remote worker whose home sits inside the restricted radius is still bound, because geography keys on where the employee operates, not only where the customers sit.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or influenced during a stated look-back window. The employer must prove the restraint protects customer goodwill rather than suppresses ordinary competition, and a customer class wider than the employee's real relationships is where that proof usually fails.</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during the look-back window. The practice note stages no Mississippi authority specific to employee non-solicits, so the clause stands on ordinary reasonableness — which makes a workforce-wide class the hardest version to defend.</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trade secrets, confidential information, customer goodwill, or an investment in specialized training. Mississippi treats these covenants as restraints on trade and individual freedom, disfavored and construed strictly against the drafter, so a recital that only gestures at competition gives the employer nothing to carry its burden with.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Define the competing activity by what the employee actually does for the employer rather than every line of the employer's business. The activity restrained is one of the three dimensions the reasonableness gate at the end of this checklist tests, and an any-capacity definition is the usual way that dimension fails.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covenant restricts owning or investing in competitors, look for a passive public-stock carve-out below a stated percentage. A covenant that technically bans index funds and ordinary public shares hands the employee an overbreadth argument in a state that already construes the document against the employer.</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If the capitalized term appears, confirm its percentage matches the operative carve-out it serves; if it does not appear, inline carve-out language does the same work without a defined term.</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Read the verbs harder than anything else in this section: Mississippi held a clause barring conduct that would tend to divert business ambiguous because it did not expressly prohibit accepting business from former clients who came over on their own initiative, and it construed the ambiguity against the employer. If the definition is meant to reach passive acceptance, it has to say so.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Pin down the trigger event and who can cause it. The restricted period runs from the contractual termination date, and the covenant's enforceability itself can turn on how the employment ended — a bad-faith discharge forfeits enforcement, while a voluntary resignation leaves the covenant on ordinary reasonableness footing.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Mississippi accepts continued at-will employment alone as sufficient consideration, so a mid-employment covenant does not need a recited raise or bonus to survive. Document the timing anyway: the court scrutinizes the circumstances of signing, and a covenant extracted just before an imminent, bad-faith discharge stands on weaker ground under the enforcement defense covered at the end of this checklist.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Mississippi rule requires it, but the agreement will be construed strictly against the employer who drafted it, and a documented opportunity to take the document to a lawyer is inexpensive evidence of fair dealing if procedural fairness is later questioned in chancery.</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for as long as the information stays secret — that is how federal law defines the right — while everything else carries a finite term. Keeping the two tracks separate preserves the statutory claim that does not depend on the covenant surviving review.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stated end date. A perpetual lid on ordinary business information reads as exactly the kind of overreach a Mississippi court weighs against the employer when it balances the restraint against the employee's freedom to work.</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an employer that omits the immunity notice forfeits exemplary damages and attorney fees in a later trade-secret action against the worker. Verify the notice, or a compliant policy cross-reference, appears in any agreement governing confidential information.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Check that the confidentiality and non-disparagement clauses leave room for employees to discuss wages, hours, and working conditions. Section 7 protects that activity regardless of which state's law governs the agreement, and the Board has held that merely offering employees overbroad terms violates the Act.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permitting disclosure required by law, court order, or a government investigation, with notice to the employer where lawful. No confidentiality clause can block compelled disclosure, and drafting as though it could invites the strict-against-the-drafter reading Mississippi already applies to the whole document.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The exit protocol is both a reasonable secrecy effort supporting trade-secret status and the contemporaneous record the employer wants in hand before asking a chancellor for an injunction over material that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covenant with the least Mississippi-specific law behind it: the practice note stages no authority on employee no-poach clauses, so review this one on ordinary reasonableness — a class limited to colleagues the employee actually worked with, for a defensible period, in service of a named interest.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usually the employer's sturdiest restraint here, because Mississippi recognizes that a properly drafted clause reaching former customers can be reasonable and enforceable. The drafting, not the concept, is what failed in the leading case — so route this clause through the express-language gate at the end of this checklist before relying on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a covered customer even when the customer makes the first call — which is precisely the conduct Mississippi will not infer from solicitation language alone. If non-dealing is intended, the clause must say so expressly, and because it is a heavier restraint than a non-solicit, scope it at least as tightly.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route it straight through the Mississippi gates at the end of this checklist: the covenant is disfavored, construed strictly against the employer, and enforceable only if the employer proves it reasonable across time, territory, and restrained activity under the three-interest balance. Note the posture shift when the covenant rides a business sale or ownership settlement — Mississippi treats a restraint protecting conveyed goodwill more favorably than a pure employment restraint.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actual competitors, bind the names rather than leaning on the open-ended Competitive Business definition. Mississippi measures the restraint against the employer's real market and the employee's real influence, and a named list is the cheapest way to keep the activity dimension inside that line.</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then weigh it under the same disfavored-restraint balance as the rest of the suite — an investment ban is the covenant hardest to tie to customer goodwill or confidential information.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and the standard carve-outs — truthful testimony, statements to government agencies, and protected workplace speech. The federal limits do the real work on this clause, because the Board holds that offering employees overbroad non-disparagement terms is itself unlawful, whatever Mississippi contract law would tolerate.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and health-care terms</w:t>
      </w:r>
      <w:r>
        <w:t xml:space="preserve"> — Recommended (SHOULD)</w:t>
      </w:r>
    </w:p>
    <w:p>
      <w:pPr>
        <w:spacing w:before="0" w:after="120"/>
        <w:ind w:left="540"/>
      </w:pPr>
      <w:r>
        <w:t xml:space="preserve">Mississippi has no statutory ban on physician or health care non-competes: bills to void them have been introduced repeatedly — most recently House Bill 500 in 2026 — and every one has failed, so a health-care covenant is tested on ordinary reasonableness like any other restraint on this page. Keep the dedicated clause for whatever physician-specific terms the agreement carries, and treat the failed bills as monitoring items, not law: recheck the Legislature's bill status each session before advising that no ban applies.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Check for the employee's representation that no prior covenant or court order blocks the new role. It surfaces an earlier employer's restraint before the first customer call, and it gives this employer an answer to a tortious-interference theory built on knowingly hiring into someone else's covenant.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default. A notice clause can support enforcement, but a warning letter resting on a covenant that fails the reasonableness balance — or that the employer forfeited through a bad-faith firing — is raw material for a tortious-interference counterclaim. Condition any third-party notice on a covenant the employer still believes survives the gates at the end of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Express extension during a breach</w:t>
      </w:r>
      <w:r>
        <w:t xml:space="preserve"> — Recommended (SHOULD)</w:t>
      </w:r>
    </w:p>
    <w:p>
      <w:pPr>
        <w:spacing w:before="0" w:after="120"/>
        <w:ind w:left="540"/>
      </w:pPr>
      <w:r>
        <w:t xml:space="preserve">Mississippi splits this question down the middle, so check both halves. A court will not add the time on its own: where the contract limits the period to a term running from termination, the court may not extend the time beyond that date, and nothing tolls automatically while the former employee is in breach or litigation is pending. An express clause is a different matter — an agreement that extended the non-compete period by the time the covenantor was in breach was given effect, with the covenant extended and injunctive relief awarded for a continuing breach. If the employer wants the clock to pause, the clause must say so expressly and tie the extension to the actual breach period; an open-ended automatic extension risks turning a fixed restraint into a perpetual one.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irreparable-harm acknowledgement, then remember what kind of remedy this is: an injunction is equitable, and a chancellor who finds the employee's termination arbitrary, capricious, or in bad faith can refuse to lend the hand of equity no matter what the agreement recites. The recital smooths the path to relief; it cannot clean the employer's hands. </w:t>
      </w:r>
    </w:p>
    <w:p>
      <w:pPr>
        <w:keepNext/>
        <w:spacing w:before="200" w:after="80"/>
      </w:pPr>
      <w:r>
        <w:rPr>
          <w:rFonts w:ascii="Segoe UI Symbol" w:hAnsi="Segoe UI Symbol"/>
        </w:rPr>
        <w:t xml:space="preserve">☐  </w:t>
      </w:r>
      <w:r>
        <w:rPr>
          <w:b/>
        </w:rPr>
        <w:t xml:space="preserve">13.2  </w:t>
      </w:r>
      <w:r>
        <w:rPr>
          <w:b/>
        </w:rPr>
        <w:t xml:space="preserve">Attorney-fee shifting</w:t>
      </w:r>
      <w:r>
        <w:t xml:space="preserve"> — Optional (MAY)</w:t>
      </w:r>
    </w:p>
    <w:p>
      <w:pPr>
        <w:spacing w:before="0" w:after="120"/>
        <w:ind w:left="540"/>
      </w:pPr>
      <w:r>
        <w:t xml:space="preserve">A commercial choice. The practice note stages no Mississippi fee-shifting rule specific to restrictive covenants, so review the clause on ordinary contract terms: if the agreement is silent, each side bears its own fees under the default American Rule.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permitted, never relied on</w:t>
      </w:r>
      <w:r>
        <w:t xml:space="preserve"> — Recommended (SHOULD)</w:t>
      </w:r>
    </w:p>
    <w:p>
      <w:pPr>
        <w:spacing w:before="0" w:after="120"/>
        <w:ind w:left="540"/>
      </w:pPr>
      <w:r>
        <w:t xml:space="preserve">Mississippi will often narrow rather than void: an overbroad covenant is enforced to the extent it is reasonable, and the leading case cut a facially statewide restraint down to one town and a fifty-mile radius after framing the question as whether the reasonable part of a partly unreasonable covenant should be enforced. Permit reformation in the severability clause, but never draft in reliance on it — partial enforcement is the chancellor's equitable discretion, a grossly overbroad covenant invites refusal rather than rescue, and the safer structure is tiered, severable restraints each defensible standing alone.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auditable — perpetual for trade secrets, finite everywhere else. The discipline pays twice in Mississippi: separately stated restraints are easier to enforce to their reasonable extent, and a single bundled survival clause obscures exactly the per-covenant timing a reviewer needs to test.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Express, timely assignment to successors</w:t>
      </w:r>
      <w:r>
        <w:t xml:space="preserve"> — Recommended (SHOULD)</w:t>
      </w:r>
    </w:p>
    <w:p>
      <w:pPr>
        <w:spacing w:before="0" w:after="120"/>
        <w:ind w:left="540"/>
      </w:pPr>
      <w:r>
        <w:t xml:space="preserve">Confirm an express assignability clause, and in any deal, move the covenant deliberately: a business buyer could not enforce an employee's non-compete where the asset-purchase agreement's plain language did not transfer the employment contract and a later assignment came after the employee had already resigned. The two regimes are mirror images — the seller's own covenant travels with the goodwill conveyed unless its terms make it personal, while an employee's covenant is just another contract that must be assigned expressly, in the deal documents, before the employee departs.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Confirm the agreement states its governing law, venue, and dispute-resolution process. The practice note stages no Mississippi choice-of-law or forum-selection authority for these covenants, so the neutral instruction stands: name the selections clearly, and flag any out-of-state choice in a Mississippi employment relationship for counsel review rather than assuming how a court would resolve it.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a Mississippi inflection: because the covenant is construed strictly against the drafting employer, the integration and written-amendment mechanics are what keep an informal side promise or an unsigned revision from muddying which restraint text the chancellor actually reads.</w:t>
      </w:r>
    </w:p>
    <w:p>
      <w:pPr>
        <w:keepNext/>
        <w:spacing w:before="360" w:after="160"/>
      </w:pPr>
      <w:r>
        <w:rPr>
          <w:b/>
          <w:sz w:val="28"/>
          <w:szCs w:val="28"/>
        </w:rPr>
        <w:t xml:space="preserve">19. Mississippi enforceability gates (Texas Road Boring and Empiregas)</w:t>
      </w:r>
    </w:p>
    <w:p>
      <w:pPr>
        <w:spacing w:before="0" w:after="120"/>
      </w:pPr>
      <w:r>
        <w:t xml:space="preserve">The four items below exist only on this Mississippi page: the reasonableness balance every covenant must pass, the bad-faith-termination defense that can forfeit enforcement outright, the professional-conduct bar for lawyers, and the express-language rule for clauses meant to reach customers who make the first call.</w:t>
      </w:r>
    </w:p>
    <w:p>
      <w:pPr>
        <w:keepNext/>
        <w:spacing w:before="200" w:after="80"/>
      </w:pPr>
      <w:r>
        <w:rPr>
          <w:rFonts w:ascii="Segoe UI Symbol" w:hAnsi="Segoe UI Symbol"/>
        </w:rPr>
        <w:t xml:space="preserve">☐  </w:t>
      </w:r>
      <w:r>
        <w:rPr>
          <w:b/>
        </w:rPr>
        <w:t xml:space="preserve">19.1  </w:t>
      </w:r>
      <w:r>
        <w:rPr>
          <w:b/>
        </w:rPr>
        <w:t xml:space="preserve">Reasonable in time, territory, and activity</w:t>
      </w:r>
      <w:r>
        <w:t xml:space="preserve"> — Required (MUST)</w:t>
      </w:r>
    </w:p>
    <w:p>
      <w:pPr>
        <w:spacing w:before="0" w:after="120"/>
        <w:ind w:left="540"/>
      </w:pPr>
      <w:r>
        <w:t xml:space="preserve">Run the covenant through the balance first: Mississippi weighs the rights of the employer, the rights of the employee, and the rights of the public, and the enforcing employer carries the burden of proving the restraint reasonable in duration, territory, and restrained activity, in service of a legitimate business interest rather than the suppression of ordinary competition. The law's stated job is to maintain a reasonable balance between protection and the freedom to work, and scope is measured against the employee's real influence — a statewide restraint failed where the employee's relationships were local, while a 250-mile radius held for a telephonic business whose market would have justified even a nationwide limit. </w:t>
      </w:r>
    </w:p>
    <w:p>
      <w:pPr>
        <w:keepNext/>
        <w:spacing w:before="200" w:after="80"/>
      </w:pPr>
      <w:r>
        <w:rPr>
          <w:rFonts w:ascii="Segoe UI Symbol" w:hAnsi="Segoe UI Symbol"/>
        </w:rPr>
        <w:t xml:space="preserve">☐  </w:t>
      </w:r>
      <w:r>
        <w:rPr>
          <w:b/>
        </w:rPr>
        <w:t xml:space="preserve">19.2  </w:t>
      </w:r>
      <w:r>
        <w:rPr>
          <w:b/>
        </w:rPr>
        <w:t xml:space="preserve">No enforcement after a bad-faith firing</w:t>
      </w:r>
      <w:r>
        <w:t xml:space="preserve"> — Prohibited (MUST NOT)</w:t>
      </w:r>
    </w:p>
    <w:p>
      <w:pPr>
        <w:spacing w:before="0" w:after="120"/>
        <w:ind w:left="540"/>
      </w:pPr>
      <w:r>
        <w:t xml:space="preserve">Before anyone relies on the covenant, ask how the employment ended: when an employer terminates an employee in bad faith, the terms of a non-competition agreement will not be enforced, and a chancellor who finds the discharge arbitrary, capricious, or in bad faith can refuse to lend the hand of equity to the employer who caused it. No clause drafts around the defense — a covenant perfectly reasonable on its face still fails on these facts. The limit runs the other way too: an employee who voluntarily resigns generally cannot invoke it, and the covenant is then tested on ordinary reasonableness. </w:t>
      </w:r>
    </w:p>
    <w:p>
      <w:pPr>
        <w:keepNext/>
        <w:spacing w:before="200" w:after="80"/>
      </w:pPr>
      <w:r>
        <w:rPr>
          <w:rFonts w:ascii="Segoe UI Symbol" w:hAnsi="Segoe UI Symbol"/>
        </w:rPr>
        <w:t xml:space="preserve">☐  </w:t>
      </w:r>
      <w:r>
        <w:rPr>
          <w:b/>
        </w:rPr>
        <w:t xml:space="preserve">19.3  </w:t>
      </w:r>
      <w:r>
        <w:rPr>
          <w:b/>
        </w:rPr>
        <w:t xml:space="preserve">No practice restrictions for lawyers</w:t>
      </w:r>
      <w:r>
        <w:t xml:space="preserve"> — Prohibited (MUST NOT)</w:t>
      </w:r>
    </w:p>
    <w:p>
      <w:pPr>
        <w:spacing w:before="0" w:after="120"/>
        <w:ind w:left="540"/>
      </w:pPr>
      <w:r>
        <w:t xml:space="preserve">If the worker is a lawyer, the professional-conduct rule displaces the reasonableness analysis: a partnership or employment agreement may not restrict the lawyer's right to practice after the relationship ends, except an agreement concerning benefits upon retirement. The rule keys on the profession, not on pay or seniority, and its only other out is its own carve-out for restrictions included in the terms of the sale of a law practice under Rule 1.17 — which is not a drafting workaround for an employment covenant. </w:t>
      </w:r>
    </w:p>
    <w:p>
      <w:pPr>
        <w:keepNext/>
        <w:spacing w:before="200" w:after="80"/>
      </w:pPr>
      <w:r>
        <w:rPr>
          <w:rFonts w:ascii="Segoe UI Symbol" w:hAnsi="Segoe UI Symbol"/>
        </w:rPr>
        <w:t xml:space="preserve">☐  </w:t>
      </w:r>
      <w:r>
        <w:rPr>
          <w:b/>
        </w:rPr>
        <w:t xml:space="preserve">19.4  </w:t>
      </w:r>
      <w:r>
        <w:rPr>
          <w:b/>
        </w:rPr>
        <w:t xml:space="preserve">Bar on accepting business stated expressly</w:t>
      </w:r>
      <w:r>
        <w:t xml:space="preserve"> — Recommended (SHOULD)</w:t>
      </w:r>
    </w:p>
    <w:p>
      <w:pPr>
        <w:spacing w:before="0" w:after="120"/>
        <w:ind w:left="540"/>
      </w:pPr>
      <w:r>
        <w:t xml:space="preserve">If the employer means to stop the employee from serving former customers regardless of who reaches out first, the clause has to say that accepting their business is prohibited. A clause barring conduct that would tend to divert business was held ambiguous precisely because it lacked that express language, and the ambiguity was construed against the employer — while the same court recognized that an express no-acceptance clause can, in appropriate cases, be reasonable and enforceable. The verb choice is the substantive choice: solicitation language reaches active diversion only. </w:t>
      </w:r>
    </w:p>
    <w:p>
      <w:pPr>
        <w:spacing w:before="360" w:after="0"/>
      </w:pPr>
      <w:r>
        <w:rPr>
          <w:color w:val="666666"/>
          <w:sz w:val="16"/>
          <w:szCs w:val="16"/>
        </w:rPr>
        <w:t xml:space="preserve">Steven Obiajulu, J.D. edits this review checklist for Mississippi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