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Montana</w:t>
      </w:r>
    </w:p>
    <w:p>
      <w:pPr>
        <w:spacing w:before="0" w:after="120"/>
      </w:pPr>
      <w:r>
        <w:rPr>
          <w:i/>
          <w:color w:val="444444"/>
        </w:rPr>
        <w:t xml:space="preserve">A clause-by-clause reviewer checklist for Montana employee restrictive covenant agreements — confidentiality, non-solicits, non-competes, and non-disparagement under Mont. Code Ann. § 28-2-703, where absolute restraints are void and only reasonable partial restraints survive.</w:t>
      </w:r>
    </w:p>
    <w:p>
      <w:pPr>
        <w:spacing w:before="0" w:after="240"/>
      </w:pPr>
      <w:r>
        <w:rPr>
          <w:color w:val="666666"/>
          <w:sz w:val="18"/>
          <w:szCs w:val="18"/>
        </w:rPr>
        <w:t xml:space="preserve">By Steven Obiajulu, J.D. Last reviewed 2026-06-12. License: CC BY 4.0. https://openagreements.org/checklists/non-compete/us/montana</w:t>
      </w:r>
    </w:p>
    <w:p>
      <w:pPr>
        <w:keepNext/>
        <w:spacing w:before="360" w:after="160"/>
      </w:pPr>
      <w:r>
        <w:rPr>
          <w:b/>
          <w:sz w:val="28"/>
          <w:szCs w:val="28"/>
        </w:rPr>
        <w:t xml:space="preserve">1. Parties and cover-term identification</w:t>
      </w:r>
    </w:p>
    <w:p>
      <w:pPr>
        <w:spacing w:before="0" w:after="120"/>
      </w:pPr>
      <w:r>
        <w:t xml:space="preserve">Review every item below the way a Montana court would: the restraint-of-trade statute voids any contract restraining a lawful profession, trade, or business, and only a partial restraint — one that leaves the worker free to practice while regulating a limited client set, territory, time, or fee consequence — survives the reasonableness test. For the question-by-question legal analysis behind these items, see the </w:t>
      </w:r>
      <w:r>
        <w:t xml:space="preserve">Montana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in the actual employment, partnership, or professional relationship. Montana ties enforcement to the employer's own legitimate protective interest and, for health-care workers, to the relationship the contract creates — a covenant running to an affiliate that never employed the worker starts the review with a standing question layered on top of the statutory ones.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carries unusual weight here. The health-care provider ban applies phase by phase to contracts made or renewed on or after each amendment's effective date — all physicians from January 1, 2026 — and the consideration analysis for a covenant signed after hire turns on what moved at signing. An undated agreement leaves both questions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first as a screening step: Montana's health-care provider statute lists covered licenses — physicians, psychologists, naturopathic physicians, social workers, counselors, therapists, peer support specialists, nurses, advanced practice nurses, and physician assistants — and a covered title can take the whole covenant suite off the table. For everyone else, the role is the first evidence of what protectable interest the restraint could possibly serve.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 covenant governed by Montana law answers to the restraint-of-trade statute and the partial-restraint case law from the first line, so the selection determines which framework every later item on this page applies under.</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Keep the definition close to information that is genuinely not public and commercially valuable. Montana's preferred protection channel is the trade-secret statute plus narrow confidentiality covenants, and a definition that swallows everything the worker ever learned starts to operate like a restraint on practicing the trade — the category the statute voids.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information or software with independent economic value from secrecy, protected by reasonable secrecy efforts. The definition earns its keep twice in Montana — it anchors the perpetual-protection clause, and proven trade-secret access is one of the few facts that can preserve enforcement after an employer-initiated termination.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A single defined Restricted Period keeps every duration auditable against the reasonableness test, whose first element asks whether the covenant is limited in operation as to time or place. A clean, stated period is the easiest way to put the time limb beyond argument — an open-ended or renewing period invites the absolute-restraint characterization.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Test the territory against the worker's actual market, not the map. Montana voided a covenant that prohibited the worker from doing exactly the local work her trade depended on — so a territory that blankets everywhere the worker could realistically practice converts a nominally limited clause into an absolute restraint, whatever its label.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clients the worker actually served, ideally inside a stated look-back window. Montana's most successful covenant pattern is exactly this shape: a provision keyed to the firm's existing clients, with a payment consequence rather than a work ban, held to be a partial restraint. The wider the customer class, the further the clause drifts from the pattern that wins.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The restraint statute reaches contracts restraining a business of any kind, so an employee non-solicit is itself a restraint tested for reasonableness — and no Montana high-court decision fixes a safe scope for one, which makes a modest, relationship-based class the only defensible drafting posture.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because the employer will have to prove them. Montana recognized a firm's legitimate business interest in protecting its client base, and proof of a real protective interest is also what keeps enforcement alive in harder postures, like a separation the employer initiated. Recitals about competition in general do no work here.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wider this definition sweeps, the more the covenant looks like a bar on practicing the profession itself rather than a regulation of a limited slice of it — and that characterization, not the clause heading, is what decides which side of the void line the covenant lands on.</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ordinary public shares in the industry restricts far more than any protectable interest requires, and gratuitous overbreadth is exactly what pushes a Montana covenant from the partial-restraint column into the void one.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Montana has no decision fixing the boundaries of a stand-alone non-solicit, so the clause will be judged on how much trade it actually restrains — a definition that also captures passively accepting work from a client who calls first restrains more, and explains itself less, than one limited to active outreach.</w:t>
      </w:r>
    </w:p>
    <w:p>
      <w:pPr>
        <w:keepNext/>
        <w:spacing w:before="200" w:after="80"/>
      </w:pPr>
      <w:r>
        <w:rPr>
          <w:rFonts w:ascii="Segoe UI Symbol" w:hAnsi="Segoe UI Symbol"/>
        </w:rPr>
        <w:t xml:space="preserve">☐  </w:t>
      </w:r>
      <w:r>
        <w:rPr>
          <w:b/>
        </w:rPr>
        <w:t xml:space="preserve">2.12  </w:t>
      </w:r>
      <w:r>
        <w:rPr>
          <w:b/>
        </w:rPr>
        <w:t xml:space="preserve">Who ended the relationship</w:t>
      </w:r>
      <w:r>
        <w:t xml:space="preserve"> — Recommended (SHOULD)</w:t>
      </w:r>
    </w:p>
    <w:p>
      <w:pPr>
        <w:spacing w:before="0" w:after="120"/>
        <w:ind w:left="540"/>
      </w:pPr>
      <w:r>
        <w:t xml:space="preserve">The termination definition should do more than start the clock — it should record who ended the relationship and how. In Montana that single fact is usually decisive: an employer that chooses to end the employment relationship normally lacks a legitimate business interest in enforcing the covenant afterward, and the exception requires the employer to prove the worker misused trade secrets, customer relationships, or proprietary information. A trigger that lumps resignation, dismissal, and nonrenewal together hides the fact most likely to control the outcome.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a covenant signed after hire</w:t>
      </w:r>
      <w:r>
        <w:t xml:space="preserve"> — Avoid (SHOULD NOT)</w:t>
      </w:r>
    </w:p>
    <w:p>
      <w:pPr>
        <w:spacing w:before="0" w:after="120"/>
        <w:ind w:left="540"/>
      </w:pPr>
      <w:r>
        <w:t xml:space="preserve">Do not accept continued at-will employment alone as the exchange for a covenant signed after the job began. Montana held that the simple fact of continued employment may not be sufficient consideration for a non-compete signed months into the role; a post-hire covenant needs independent consideration — a raise, a promotion, access to trade secrets or confidential information, or another real benefit tied to the new restriction — documented at signing, not reconstructed later. Good consideration is also an element of the reasonableness test itself, so the gap defeats the restraint, not just the contract. A covenant presented during pre-employment negotiations can use the job offer as the exchange.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Montana statute demands it, but it is cheap evidence on the fairness side of the balancing test — the same test that weighs the burden on the worker against the employer's protection. An acknowledgement that the worker had a real chance to take the agreement to a lawyer makes the signing process harder to paint as oppressive.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run as long as secrecy does — both the federal definition and Montana's own trade-secret act key the right to continued secrecy, not to a contract term. In a state that pushes employers away from broad covenants and toward trade-secret protection, a fixed expiry on this clause gives away the most durable remedy the employer has.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Montana's framework rewards narrow confidentiality covenants; a perpetual lid on non-secret information stretches the clause toward operating as a restraint on the trade itself, and the two-track structure keeps the perpetual obligation where the trade-secret statutes actually support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Montana: omit the immunity notice and the employer forfeits exemplary damages and attorney fees in a later trade-secret suit against the worker. Because trade-secret protection is the channel Montana law leaves widest open,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anywhere, and a clause drafted as if it could is the kind of overreach that draws strict construction against the drafter in a state already skeptical of restraints.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strongest post-employment remedy is the trade-secret act, the certification is the cleanest contemporaneous evidence of what the worker kept — and of the reasonable secrecy efforts the statutory definition requires the employer to have made.</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untested at the top of Montana's courts. The restraint statute reaches contracts restraining a business of any kind, so treat the clause as a restraint that must stay partial and reasonable: limited to real working relationships, inside the defined Restricted Period, and never functioning as a hiring ban across the employer's whole workforce.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worth comparing against the structure Montana has actually enforced: a fee-for-service provision that lets the worker serve former clients subject to a payment, rather than forbidding the contact outright. A pure non-solicit is still a restraint under the statute with no decision fixing its permissible scope, so the closer it sits to actual served clients and active outreach, the safer it is.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doing the work, not just on chasing it. In Montana that matters structurally: the more a clause forbids performing the trade for a market segment, the closer it edges to the absolute-prohibition territory the statute voids. If it appears, keep the customer class tight and treat the clause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it straight through the Montana statutory gates at the end of this checklist: the statute voids restraints on practicing a trade, and only a covenant that is genuinely partial — and reasonable on every element of the balancing test — survives. For covered health-care providers it is simply off the table. The drafting posture that wins here is the narrow, partial restraint, not the broad clause with a fallback.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definition. A named list is the cheapest way to prove the restraint is partial — the worker can practice anywhere except a handful of identified firms — and Montana courts void overreaching covenants rather than trimming them, so the narrowing has to be in the document, not left to the judge.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check that the investment restriction does not quietly reach how the worker practices or earns in the trade, which would pull it under the restraint statute's void rule.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nothing in Montana law rescues a clause drafted past those limits.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Montana's rule plainly: a contract with a covered health-care provider may not restrict post-relationship practice, services, patient treatment, patient relationships, or patient solicitation — with coverage phased by when the contract was made or renewed, reaching all licensed physicians for contracts made or renewed on or after January 1, 2026. The clause should also locate what remains lawful: a covenant in connection with the sale and purchase of a practice, and a physician repayment provision for advanced money that decreases over time.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its place on intake in Montana too: an incoming covenant from elsewhere may restrain far more than this state would enforce, and surfacing it before the first client call is cheaper than litigating it after.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Montana caution attached: an enforcement letter sent after the employer itself ended the relationship runs into the rule that an employer normally lacks a legitimate interest in enforcing the covenant in that posture. If the clause appears, condition any third-party notice on a covenant the employer could actually enforce on the facts of the separation.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Montana question. No statute or staged decision addresses extending a restricted period for time spent in violation, and an extension is itself part of the restraint, so it has to survive the same time-limit and balancing analysis as the covenant it stretches. A clause that can run indefinitely through repeated extensions undercuts the definite time limit the reasonableness test asks for.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 then remember what actually moves a Montana court: a covenant that survives the void rule and the reasonableness test, or a genuine trade-secret claim, for which the statute authorizes an injunction against actual or threatened misappropriation independent of any covenant. A recital cannot supply the legitimate interest the employer has to prove.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default American Rule applies if the agreement is silent. If a fee clause appears, check that it is mutual and prevailing-party based: a one-way employer fee right bolted onto a covenant of uncertain enforceability adds to the burden side of the balancing test without adding any protection the employer can prove it needs.</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Separate promises, not a court rescue</w:t>
      </w:r>
      <w:r>
        <w:t xml:space="preserve"> — Avoid (SHOULD NOT)</w:t>
      </w:r>
    </w:p>
    <w:p>
      <w:pPr>
        <w:spacing w:before="0" w:after="120"/>
        <w:ind w:left="540"/>
      </w:pPr>
      <w:r>
        <w:t xml:space="preserve">Read the severability clause as structure, not insurance. Montana courts construe restrictive covenants strictly and void an overbroad restraint outright rather than rewriting it into a narrower one — the statute's partial-void rule saves the lawful objects of a contract with several distinct objects, but it does not shrink a single aggressive clause. So check that confidentiality, trade-secret, customer, repayment, and competition promises are drafted as separate provisions, each sized to a lawful scope on its own, and treat any clause inviting a court to supply a new scope as a red flag.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is the distinct-objects principle carried into the boilerplate: each promise should expire on its own schedule and read on its own. In Montana that separateness is what the partial-void rule preserves — a bundled survival clause that entangles the covenants makes it harder for the lawful promises to stand when a restraint falls.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Note the Montana wrinkle for whoever inherits the covenant: the assignee enforces subject to the same statute and the same legitimate-interest showing, and a successor that ends the worker's employment itself walks into the employer-initiated-termination problem with the covenant it just acquired.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Specify governing law, venue, and the dispute process. For Montana work, expect the analysis on this page to follow the agreement into court: the restraint statute and the partial-restraint case law are the framework a Montana court applies to a Montana-law covenant, so the rest of this checklist is only as useful as the governing-law clause that makes it the operative test.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Montana trap inside: the health-care provider ban applies to contracts made or renewed on or after each phase's effective date, so a routine renewal or amendment can pull an older agreement into the current regime. Review the amendment and renewal mechanics with that in mind — and remember that a mid-employment amendment adding or expanding a covenant needs its own independent consideration. </w:t>
      </w:r>
    </w:p>
    <w:p>
      <w:pPr>
        <w:keepNext/>
        <w:spacing w:before="360" w:after="160"/>
      </w:pPr>
      <w:r>
        <w:rPr>
          <w:b/>
          <w:sz w:val="28"/>
          <w:szCs w:val="28"/>
        </w:rPr>
        <w:t xml:space="preserve">19. Montana statutory gates (Mont. Code Ann. § 28-2-703)</w:t>
      </w:r>
    </w:p>
    <w:p>
      <w:pPr>
        <w:spacing w:before="0" w:after="120"/>
      </w:pPr>
      <w:r>
        <w:t xml:space="preserve">The five items below exist only on this Montana page: they implement the restraint statute's void rule and its partial-restraint reasonableness test, the phased health-care provider ban, and the sale-of-goodwill and partnership-dissolution exceptions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No restraint that blocks the trade outright</w:t>
      </w:r>
      <w:r>
        <w:t xml:space="preserve"> — Prohibited (MUST NOT)</w:t>
      </w:r>
    </w:p>
    <w:p>
      <w:pPr>
        <w:spacing w:before="0" w:after="120"/>
        <w:ind w:left="540"/>
      </w:pPr>
      <w:r>
        <w:t xml:space="preserve">Test every covenant against the worker's actual market, not its own wording: a restraint that leaves the worker no realistic way to practice the profession, trade, or business is void under the statute, and Montana voided a covenant that prohibited exactly the local work the worker's trade depended on. The clause that survives is the partial one — the worker keeps practicing, subject to a limited client, territory, time, or fee consequence. Ask, for each covenant, what work the worker could still lawfully do the day after signing; if the honest answer is none, the covenant fails before any reasonableness analysis begins. </w:t>
      </w:r>
    </w:p>
    <w:p>
      <w:pPr>
        <w:keepNext/>
        <w:spacing w:before="200" w:after="80"/>
      </w:pPr>
      <w:r>
        <w:rPr>
          <w:rFonts w:ascii="Segoe UI Symbol" w:hAnsi="Segoe UI Symbol"/>
        </w:rPr>
        <w:t xml:space="preserve">☐  </w:t>
      </w:r>
      <w:r>
        <w:rPr>
          <w:b/>
        </w:rPr>
        <w:t xml:space="preserve">19.2  </w:t>
      </w:r>
      <w:r>
        <w:rPr>
          <w:b/>
        </w:rPr>
        <w:t xml:space="preserve">All three reasonableness elements satisfied</w:t>
      </w:r>
      <w:r>
        <w:t xml:space="preserve"> — Required (MUST)</w:t>
      </w:r>
    </w:p>
    <w:p>
      <w:pPr>
        <w:spacing w:before="0" w:after="120"/>
        <w:ind w:left="540"/>
      </w:pPr>
      <w:r>
        <w:t xml:space="preserve">Run each partial restraint through all three elements: a limit in operation as to time or place, some good consideration, and reasonable protection for — without an unreasonable burden on — the employer, the worker, or the public. The first element reads time or place, not both, but the third is a true balancing test, so a technically limited covenant still fails when the employer's protection is disproportionate to the burden. The structure with the strongest track record is the fee-for-service provision: a court found one reasonable on these factors after trial and sustained a multimillion-dollar judgment on it. </w:t>
      </w:r>
    </w:p>
    <w:p>
      <w:pPr>
        <w:keepNext/>
        <w:spacing w:before="200" w:after="80"/>
      </w:pPr>
      <w:r>
        <w:rPr>
          <w:rFonts w:ascii="Segoe UI Symbol" w:hAnsi="Segoe UI Symbol"/>
        </w:rPr>
        <w:t xml:space="preserve">☐  </w:t>
      </w:r>
      <w:r>
        <w:rPr>
          <w:b/>
        </w:rPr>
        <w:t xml:space="preserve">19.3  </w:t>
      </w:r>
      <w:r>
        <w:rPr>
          <w:b/>
        </w:rPr>
        <w:t xml:space="preserve">No practice or patient restrictions on physicians</w:t>
      </w:r>
      <w:r>
        <w:t xml:space="preserve"> — Prohibited (MUST NOT)</w:t>
      </w:r>
    </w:p>
    <w:p>
      <w:pPr>
        <w:spacing w:before="0" w:after="120"/>
        <w:ind w:left="540"/>
      </w:pPr>
      <w:r>
        <w:t xml:space="preserve">For a contract with a licensed physician made or renewed on or after January 1, 2026, strike any clause restricting post-relationship practice or services in any geography for any period — and strike patient-facing substitutes too, because the statute reaches restrictions on treating, advising, consulting with, establishing relationships with, or soliciting the employer's current patients. A non-compete recast as a patient non-solicit fails the same way. What remains lawful: a covenant in connection with the sale and purchase of a practice, and a repayment provision for advanced money on a payback schedule that decreases over time. </w:t>
      </w:r>
    </w:p>
    <w:p>
      <w:pPr>
        <w:keepNext/>
        <w:spacing w:before="200" w:after="80"/>
      </w:pPr>
      <w:r>
        <w:rPr>
          <w:rFonts w:ascii="Segoe UI Symbol" w:hAnsi="Segoe UI Symbol"/>
        </w:rPr>
        <w:t xml:space="preserve">☐  </w:t>
      </w:r>
      <w:r>
        <w:rPr>
          <w:b/>
        </w:rPr>
        <w:t xml:space="preserve">19.4  </w:t>
      </w:r>
      <w:r>
        <w:rPr>
          <w:b/>
        </w:rPr>
        <w:t xml:space="preserve">No practice or patient restrictions on other covered providers</w:t>
      </w:r>
      <w:r>
        <w:t xml:space="preserve"> — Prohibited (MUST NOT)</w:t>
      </w:r>
    </w:p>
    <w:p>
      <w:pPr>
        <w:spacing w:before="0" w:after="120"/>
        <w:ind w:left="540"/>
      </w:pPr>
      <w:r>
        <w:t xml:space="preserve">Check the worker's license against the statute's full list: psychologists, social workers, professional counselors, addiction counselors, marriage and family therapists, and behavioral health peer support specialists are covered, and the 2025 amendments added naturopathic physicians, registered professional nurses, advanced practice registered nurses, and physician assistants for contracts made or renewed on or after the amendment's April 16, 2025 effective date. For any covered provider, the same full ban applies — practice, services, patient treatment, patient relationships, and patient solicitation — and the decreasing-payback exception is written for physicians only, so it offers these classes nothing. Date the contract and date any renewal; coverage turns on when the contract was made or renewed, not on when the dispute arises. </w:t>
      </w:r>
    </w:p>
    <w:p>
      <w:pPr>
        <w:keepNext/>
        <w:spacing w:before="200" w:after="80"/>
      </w:pPr>
      <w:r>
        <w:rPr>
          <w:rFonts w:ascii="Segoe UI Symbol" w:hAnsi="Segoe UI Symbol"/>
        </w:rPr>
        <w:t xml:space="preserve">☐  </w:t>
      </w:r>
      <w:r>
        <w:rPr>
          <w:b/>
        </w:rPr>
        <w:t xml:space="preserve">19.5  </w:t>
      </w:r>
      <w:r>
        <w:rPr>
          <w:b/>
        </w:rPr>
        <w:t xml:space="preserve">Sale and partnership covenants inside the statutory lines</w:t>
      </w:r>
      <w:r>
        <w:t xml:space="preserve"> — Required (MUST)</w:t>
      </w:r>
    </w:p>
    <w:p>
      <w:pPr>
        <w:spacing w:before="0" w:after="120"/>
        <w:ind w:left="540"/>
      </w:pPr>
      <w:r>
        <w:t xml:space="preserve">A covenant claiming the statutory exceptions has to earn them on the facts. The goodwill exception requires an actual sale of the goodwill of a business — a partnership document's recital is not a sale, and the exception was held inapplicable where no sale of property for pecuniary consideration occurred. The geography is a closed menu: the principal-office city or county, adjacent cities or counties, or a combination, for as long as the buyer or a successor carries on a like business there. Partners may agree on dissolution that one or more will not carry on a similar business within the same areas. A statewide or open-ended territory exceeds what either exception authorizes, and a covenant outside the exceptions falls back to the void rule and the partial-restraint analysis. </w:t>
      </w:r>
      <w:r>
        <w:t xml:space="preserve"> The partnership branch is statutory as well. </w:t>
      </w:r>
    </w:p>
    <w:p>
      <w:pPr>
        <w:spacing w:before="360" w:after="0"/>
      </w:pPr>
      <w:r>
        <w:rPr>
          <w:color w:val="666666"/>
          <w:sz w:val="16"/>
          <w:szCs w:val="16"/>
        </w:rPr>
        <w:t xml:space="preserve">Steven Obiajulu, J.D. edits this review checklist for Montana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