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Nevada</w:t>
      </w:r>
    </w:p>
    <w:p>
      <w:pPr>
        <w:spacing w:before="0" w:after="120"/>
      </w:pPr>
      <w:r>
        <w:rPr>
          <w:i/>
          <w:color w:val="444444"/>
        </w:rPr>
        <w:t xml:space="preserve">A clause-by-clause reviewer checklist for Nevada employee restrictive covenant agreements — confidentiality, non-solicits, non-competes, and non-disparagement under NRS 613.195's four-part test, hourly-worker ban, volunteer-customer carve-out, and mandatory judicial revision.</w:t>
      </w:r>
    </w:p>
    <w:p>
      <w:pPr>
        <w:spacing w:before="0" w:after="240"/>
      </w:pPr>
      <w:r>
        <w:rPr>
          <w:color w:val="666666"/>
          <w:sz w:val="18"/>
          <w:szCs w:val="18"/>
        </w:rPr>
        <w:t xml:space="preserve">By Steven Obiajulu, J.D. Last reviewed 2026-06-11. License: CC BY 4.0. https://openagreements.org/checklists/non-compete/us/nevada</w:t>
      </w:r>
    </w:p>
    <w:p>
      <w:pPr>
        <w:keepNext/>
        <w:spacing w:before="360" w:after="160"/>
      </w:pPr>
      <w:r>
        <w:rPr>
          <w:b/>
          <w:sz w:val="28"/>
          <w:szCs w:val="28"/>
        </w:rPr>
        <w:t xml:space="preserve">1. Parties and cover-term identification</w:t>
      </w:r>
    </w:p>
    <w:p>
      <w:pPr>
        <w:spacing w:before="0" w:after="120"/>
      </w:pPr>
      <w:r>
        <w:t xml:space="preserve">Review every item below the way a Nevada court would: the statute voids any covenant that fails a four-part validity test, bans covenants for solely hourly-paid workers, protects customers who follow a departing employee on their own initiative, and then orders the court to revise — not rescue or void — whatever overbroad covenant survives. For the question-by-question legal analysis behind these items, see the </w:t>
      </w:r>
      <w:r>
        <w:t xml:space="preserve">Nevada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Match the named employer to the entity whose protection the restraint actually serves. Nevada measures every covenant against the restraint required for the protection of the employer for whose benefit it is imposed, so a covenant papered with a parent or affiliate that holds none of the protected relationships starts the analysis with a mismatch.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Confirm a stated effective date and a defined start for each covenant clock. Nevada ties enforceability to facts that move over time — what consideration was given when, how employment later ended, whether severance is still being paid — and an undated covenant makes each of those reconstructions harder than it needs to be.</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but in Nevada check the pay structure next to it: a worker paid solely on an hourly wage basis, tips aside, cannot be bound at all, no matter how senior the role sounds on paper. Title and duties still matter as evidence of what the worker could carry to a competitor.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Verify the governing state is stated on the face of the agreement. When Nevada law applies, NRS 613.195 supplies the whole framework this checklist tests against — the validity conditions, the worker exclusions, the revision rule, and the fee exposure — so an ambiguous governing-law term leaves the review itself unanchored.</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Check the definition against Nevada's statutory safe harbor: post-termination confidentiality agreements are expressly preserved when they cover trade secrets, business methods, customer lists, secret formulas or processes, and confidential information, are supported by valuable consideration, and stay reasonable in scope and duration. A definition that swells beyond those categories trades the safe harbor for risk.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the trade-secret definition aligned with Nevada's Uniform Trade Secrets Act: information that derives independent economic value from secrecy and is subject to reasonable secrecy efforts. A contractual definition that labels everything a trade secret invites a court to discount the one category Nevada protects without any time limit.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Restricted Period keeps every duration auditable — and in Nevada it marks exactly what a court will operate on, because time limits are the first thing the statute authorizes a judge to revise down to reasonableness. A clean, severable period definition makes that mandatory revision surgical instead of structural.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employer actually faces the worker's competition. Nevada courts must trim an unreasonable territory rather than void the covenant, but revised means narrowed by a judge under a no-greater-than-necessary standard — a result no drafter should prefer to a territory that was defensible as written.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during a stated look-back window — and make sure the definition does not silently capture the customer Nevada protects: one who was never solicited and voluntarily followed the departing employee. A customer class drafted wider than the statute allows puts the clause in mandatory-fee territory, not just overbreadth territory.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Nevada's non-compete statute does not separately regulate employee non-solicits, so the clause stands or falls on ordinary reasonableness — a workforce-wide hiring ban reads as a restraint the statute never blessed.</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enough specificity to do statutory work. Nevada's second validity condition voids any restraint greater than required for the employer's protection, so the recital of what is being protected is the yardstick the whole covenant gets measured — and if necessary revised — against.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in concrete terms. Nevada's revision mandate has a hard limit that matters here: a court will revise an overbroad covenant but will not rewrite one or supply missing essential terms, so a Competitive Business definition too vague to narrow is a definition the statute cannot save.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reaches index funds and ordinary public shares burdens the worker without protecting the employer — gratuitous weight on Nevada's undue-hardship scale, and an easy target for judicial trimming.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requirement — many agreements inline the carve-out language instead of defining a capitalized term. If the term appears, confirm its ownership percentage matches the operative carve-out that relies on it.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In Nevada this definition carries statutory freight: the volunteer-customer carve-out turns on whether the former employee solicited the customer or the customer arrived without any contact the employee instigated. A definition that treats merely accepting inbound business as solicitation collides head-on with conduct the statute protects.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handles resignation, dismissal, and employer-driven restructuring distinctly. Nevada makes the cause of termination outcome-determinative: after a reduction in force, reorganization, or similar restructuring, the covenant is enforceable only while the employer keeps paying — so the definitions need to make the restructuring case identifiable on the face of the agreement.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Pin down when the covenant was signed relative to hire and what moved in exchange. Nevada's high court accepted continued at-will employment as consideration, but the modern statute adds a proportionality test — the restrictions must be appropriate in relation to the consideration — so a timing acknowledgement that records fresh value for a mid-employment covenant earns its place.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Nevada statute requires it, but the acknowledgement is cheap evidence on two statutory fronts at once: it supports the valuable-consideration narrative and softens an undue-hardship argument from a worker who later claims the covenant was sprung without a real chance to evaluate it.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because that is how the right itself is defined: Nevada's Uniform Trade Secrets Act keys protection to information that stays valuable by staying secret and remains subject to reasonable secrecy efforts. A fixed expiry on trade-secret confidentiality contradicts the statutory framework and hands the worker an argument that secrecy was abandoned by contract.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Nevada's safe harbor for post-termination confidentiality agreements requires the agreement to be reasonable in scope and duration — a perpetual lid on non-secret information presses on exactly that condition, while the two-track structure keeps the perpetual obligation where the trade-secret statute supports it.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applies with full force in Nevada: an agreement governing trade secrets or confidential information has to carry the whistleblower-immunity notice, or the employer forfeits exemplary damages and attorney fees in a later federal trade-secret action against the worker. For an employer whose strongest Nevada tools are secrecy-based, that is a costly clause to omit.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wages, hours, and working conditions discussable. Federal labor law protects that concerted activity in every state, and the Board has struck employee agreements whose terms broadly waived it — a federal overlay that no Nevada drafting choice can opt out of.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Confidentiality obligations cannot stop legally compelled disclosure anywhere, and in Nevada a clause that pretends otherwise needlessly strains the reasonable-scope condition the confidentiality safe harbor depends on.</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Nevada the certification doubles as trade-secret hygiene: the statute protects only information subject to efforts that are reasonable under the circumstances to maintain its secrecy, and a documented return process is exactly the kind of effort a court looks for when the employer later claims misappropriation.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quietest covenant in the Nevada family — the non-compete statute does not separately regulate it. Keep it scoped to Covered Employees and the Restricted Period, and remember the outer boundary: Nevada makes it a criminal offense to willfully prevent a former worker from obtaining employment elsewhere in the state, so a no-poach clause enforced as a de facto hiring blacklist is not a risk-free fallback.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Generally the safer Nevada covenant — but only when it polices outreach, not service. The statute protects a former customer who was never solicited and voluntarily follows the departing employee, and an employer who restricts or even attempts to restrict that protected service buys a mandatory fee award. If the clause appears, run it through the Nevada statutory gates at the end of this checklist.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which is precisely the scenario Nevada's volunteer-customer carve-out protects. An absolute no-service clause cannot lawfully reach a customer who arrives unsolicited and is served within the covenant's other valid limits, so any non-dealing covenant here needs an express statutory carve-out to survive review.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Nevada, but only on the statute's terms: the covenant is void unless it clears all four validity conditions, and it cannot touch a solely hourly-paid worker at any scope. If the clause appears, route the review straight through the Nevada statutory gates at the end of this checklist — validity test, hourly exclusion, volunteer-customer carve-out, layoff pay condition — before weighing any individual term.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Nevada's no-greater-restraint-than-required condition rewards the narrower formulation directly — and a covenant already sized to actual competition leaves a revising court little to cut.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Restricting how a worker deploys already-earned compensation adds undue-hardship weight without much protective payoff — the kind of imbalance Nevada's proportionality condition exists to catch.</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have to sit outside the clause. The federal Board polices overbroad versions in every state, and Nevada adds nothing that would rescue a clause federal labor law condemns.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Nevada has no physician-specific non-compete statute — a 2023 bill aimed at physician covenants was vetoed — so a healthcare covenant is judged under the general four-part test, where patient access and community need can weigh heavily on the undue-hardship and greater-than-necessary prongs. The dedicated clause should say how the agreement treats clinicians rather than leaving the question to inference, and reviewers should re-verify the legislative landscape before relying on the status quo.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the hiring side in Nevada it does double duty: an incoming covenant signed with a prior employer may have traveled through an asset sale without the consent Nevada requires, and the representation forces that assignment question into the open before the worker starts.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sharp Nevada edge: willfully acting to prevent a former worker from obtaining employment elsewhere in the state is a gross misdemeanor, with the statute's covenant rules operating as the exception. A notification letter built on a covenant that fails Nevada's gates is not a routine precaution — condition any third-party notice on a covenant that actually survives them.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an open Nevada question. No Nevada statute or appellate decision approves or rejects tolling; the closest authority is the revision statute, which lets a court reshape time limits toward reasonableness and supports, at most, an inference that a defined and modest extension clause would be weighed with the rest of the covenant. Draft it as a bounded term, never an open-ended restraint.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injunctive relief is appropriate. In Nevada the recital coexists with the revision regime: a court asked to enjoin will first measure the covenant against the statute, and the injunction it grants tracks the covenant as revised — not necessarily the covenant as written.</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but read it against the fee award Nevada already mandates: when a covenant reaches a solely hourly-paid employee or restricts protected volunteer-customer service, the court shall award the employee reasonable fees and costs regardless of what the contract says. Check that any contractual fee clause is mutual and does not pretend to displace the statutory one.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Drafted for mandatory court revision</w:t>
      </w:r>
      <w:r>
        <w:t xml:space="preserve"> — Recommended (SHOULD)</w:t>
      </w:r>
    </w:p>
    <w:p>
      <w:pPr>
        <w:spacing w:before="0" w:after="120"/>
        <w:ind w:left="540"/>
      </w:pPr>
      <w:r>
        <w:t xml:space="preserve">Nevada inverts the usual severability gamble: when a covenant is supported by valuable consideration but overbroad in time, geography, or activity — or imposes a greater restraint than necessary or undue hardship — the court shall revise it to the extent necessary and enforce it as revised. The state's highest court confirms the revision duty is mandatory when revision is possible, replacing the older rule that an unreasonable covenant simply died. Read the severability clause for fit with that regime, and check the two places the mandate runs out: a covenant without valuable consideration stays unenforceable, and a court will revise but never rewrite, so missing essential terms stay missing. A savings clause still earns its keep on older agreements, where the court allowed blue-penciling when the contract itself authorized it.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everything else. In Nevada the discipline has a second payoff: if a court must revise one covenant's duration, separately stated survival terms keep the revision contained instead of inviting the judge into every clause at once.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Employee consent for asset-sale assignment</w:t>
      </w:r>
      <w:r>
        <w:t xml:space="preserve"> — Required (MUST)</w:t>
      </w:r>
    </w:p>
    <w:p>
      <w:pPr>
        <w:spacing w:before="0" w:after="120"/>
        <w:ind w:left="540"/>
      </w:pPr>
      <w:r>
        <w:t xml:space="preserve">Nevada draws a hard transactional line. In an asset sale, employee non-competes are personal and do not follow the assets: the buyer needs the employee's express consent, obtained through arm's-length negotiation and supported by consideration beyond what backs the underlying covenant — a boilerplate successors-and-assigns clause does not substitute. In a statutory merger the covenant passes by operation of law and the consent rule does not apply. The clause should state the assignment position expressly and build the consent-and-consideration mechanics for the asset-sale case; a separate Nevada carve-out keeps reasonable sale-of-business covenants outside the antitrust chapter, but it does nothing to relax the consent rule for employee covenants.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Confirm governing law, venue, and the dispute process are all stated. Nevada's covenant rules carry public-policy weight — a categorical worker exclusion, a protected-customer carve-out, and mandatory fee shifting among them — so a clause steering a Nevada worker's dispute elsewhere invites a choice-of-law fight rather than settling one. The cleanest review outcome is a Nevada-law, Nevada-forum clause that matches where the worker actually works.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Nevada-specific check inside: any amendment that tightens a covenant mid-employment re-opens the consideration question, because the statute tests whether restrictions are appropriate in relation to the value supporting them. Amendment mechanics should make the new consideration for a new restriction explicit rather than resting on the original signing. </w:t>
      </w:r>
    </w:p>
    <w:p>
      <w:pPr>
        <w:keepNext/>
        <w:spacing w:before="360" w:after="160"/>
      </w:pPr>
      <w:r>
        <w:rPr>
          <w:b/>
          <w:sz w:val="28"/>
          <w:szCs w:val="28"/>
        </w:rPr>
        <w:t xml:space="preserve">19. Nevada statutory gates (NRS 613.195 and NRS 613.200)</w:t>
      </w:r>
    </w:p>
    <w:p>
      <w:pPr>
        <w:spacing w:before="0" w:after="120"/>
      </w:pPr>
      <w:r>
        <w:t xml:space="preserve">The five items below exist only on this Nevada page: they implement the statute's four-part validity test, the hourly-worker exclusion, the volunteer-customer carve-out, the layoff pay condition, and the confidentiality safe harbor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Four-part validity test</w:t>
      </w:r>
      <w:r>
        <w:t xml:space="preserve"> — Required (MUST)</w:t>
      </w:r>
    </w:p>
    <w:p>
      <w:pPr>
        <w:spacing w:before="0" w:after="120"/>
        <w:ind w:left="540"/>
      </w:pPr>
      <w:r>
        <w:t xml:space="preserve">Walk the covenant through all four statutory conditions in order: valuable consideration supports it; no restraint exceeds what the employer's protection requires; no undue hardship lands on the employee; and the restrictions stay appropriate in relation to the consideration given. Failing any one voids the covenant as written — consideration cannot buy back an excessive restraint, and a modest duration cannot cure a hollow exchange. The proportionality prong deserves the closest read on mid-employment covenants, where the value actually delivered may be thin. </w:t>
      </w:r>
    </w:p>
    <w:p>
      <w:pPr>
        <w:keepNext/>
        <w:spacing w:before="200" w:after="80"/>
      </w:pPr>
      <w:r>
        <w:rPr>
          <w:rFonts w:ascii="Segoe UI Symbol" w:hAnsi="Segoe UI Symbol"/>
        </w:rPr>
        <w:t xml:space="preserve">☐  </w:t>
      </w:r>
      <w:r>
        <w:rPr>
          <w:b/>
        </w:rPr>
        <w:t xml:space="preserve">19.2  </w:t>
      </w:r>
      <w:r>
        <w:rPr>
          <w:b/>
        </w:rPr>
        <w:t xml:space="preserve">No covenants for hourly-paid workers</w:t>
      </w:r>
      <w:r>
        <w:t xml:space="preserve"> — Prohibited (MUST NOT)</w:t>
      </w:r>
    </w:p>
    <w:p>
      <w:pPr>
        <w:spacing w:before="0" w:after="120"/>
        <w:ind w:left="540"/>
      </w:pPr>
      <w:r>
        <w:t xml:space="preserve">The covenant must not apply to an employee paid solely on an hourly wage basis, tips and gratuities aside — a categorical exclusion no consideration or tailoring can cure. Verify the worker's actual pay structure, not the job description, and treat hourly-plus arrangements with care: Nevada's appellate courts have not decided whether a commission or bonus on top of hourly pay defeats the exclusion. Enforcing against an hourly worker carries a mandatory award of the employee's fees and costs. </w:t>
      </w:r>
    </w:p>
    <w:p>
      <w:pPr>
        <w:keepNext/>
        <w:spacing w:before="200" w:after="80"/>
      </w:pPr>
      <w:r>
        <w:rPr>
          <w:rFonts w:ascii="Segoe UI Symbol" w:hAnsi="Segoe UI Symbol"/>
        </w:rPr>
        <w:t xml:space="preserve">☐  </w:t>
      </w:r>
      <w:r>
        <w:rPr>
          <w:b/>
        </w:rPr>
        <w:t xml:space="preserve">19.3  </w:t>
      </w:r>
      <w:r>
        <w:rPr>
          <w:b/>
        </w:rPr>
        <w:t xml:space="preserve">Customers who come voluntarily stay reachable</w:t>
      </w:r>
      <w:r>
        <w:t xml:space="preserve"> — Prohibited (MUST NOT)</w:t>
      </w:r>
    </w:p>
    <w:p>
      <w:pPr>
        <w:spacing w:before="0" w:after="120"/>
        <w:ind w:left="540"/>
      </w:pPr>
      <w:r>
        <w:t xml:space="preserve">The agreement must not bar a former employee from serving a former customer who was never solicited, voluntarily chose to follow the employee, and is being served within the covenant's other valid limits. Check the customer-facing clauses for an express carve-out matching those statutory conditions — the statute prohibits even bringing an action against the protected conduct, and restricting or attempting to restrict it triggers the same mandatory fee award as the hourly-worker ban. </w:t>
      </w:r>
    </w:p>
    <w:p>
      <w:pPr>
        <w:keepNext/>
        <w:spacing w:before="200" w:after="80"/>
      </w:pPr>
      <w:r>
        <w:rPr>
          <w:rFonts w:ascii="Segoe UI Symbol" w:hAnsi="Segoe UI Symbol"/>
        </w:rPr>
        <w:t xml:space="preserve">☐  </w:t>
      </w:r>
      <w:r>
        <w:rPr>
          <w:b/>
        </w:rPr>
        <w:t xml:space="preserve">19.4  </w:t>
      </w:r>
      <w:r>
        <w:rPr>
          <w:b/>
        </w:rPr>
        <w:t xml:space="preserve">Layoff enforcement only while pay continues</w:t>
      </w:r>
      <w:r>
        <w:t xml:space="preserve"> — Required (MUST)</w:t>
      </w:r>
    </w:p>
    <w:p>
      <w:pPr>
        <w:spacing w:before="0" w:after="120"/>
        <w:ind w:left="540"/>
      </w:pPr>
      <w:r>
        <w:t xml:space="preserve">When termination results from a reduction in force, reorganization, or similar restructuring, the covenant is enforceable only while the employer pays the employee's salary, benefits, equivalent compensation, or severance. Confirm the agreement does not promise a restraint that outlives the pay — for a restructured-out worker the restricted period and the payment period are the same thing, and severance mechanics become covenant mechanics. </w:t>
      </w:r>
    </w:p>
    <w:p>
      <w:pPr>
        <w:keepNext/>
        <w:spacing w:before="200" w:after="80"/>
      </w:pPr>
      <w:r>
        <w:rPr>
          <w:rFonts w:ascii="Segoe UI Symbol" w:hAnsi="Segoe UI Symbol"/>
        </w:rPr>
        <w:t xml:space="preserve">☐  </w:t>
      </w:r>
      <w:r>
        <w:rPr>
          <w:b/>
        </w:rPr>
        <w:t xml:space="preserve">19.5  </w:t>
      </w:r>
      <w:r>
        <w:rPr>
          <w:b/>
        </w:rPr>
        <w:t xml:space="preserve">Confidentiality inside the statutory safe harbor</w:t>
      </w:r>
      <w:r>
        <w:t xml:space="preserve"> — Required (MUST)</w:t>
      </w:r>
    </w:p>
    <w:p>
      <w:pPr>
        <w:spacing w:before="0" w:after="120"/>
        <w:ind w:left="540"/>
      </w:pPr>
      <w:r>
        <w:t xml:space="preserve">Keep the post-termination confidentiality covenant inside the statutory exception: supported by valuable consideration, reasonable in scope and duration, and aimed at the listed categories — trade secrets, business methods, customer lists, secret formulas or processes, and confidential information. The stakes are unusual: outside that exception sits a statute making it a gross misdemeanor to willfully prevent a former worker from getting hired elsewhere in Nevada, so a confidentiality clause that operates as a disguised non-compete is not just unenforceable drafting. </w:t>
      </w:r>
    </w:p>
    <w:p>
      <w:pPr>
        <w:spacing w:before="360" w:after="0"/>
      </w:pPr>
      <w:r>
        <w:rPr>
          <w:color w:val="666666"/>
          <w:sz w:val="16"/>
          <w:szCs w:val="16"/>
        </w:rPr>
        <w:t xml:space="preserve">Steven Obiajulu, J.D. edits this review checklist for Nevada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