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North Carolina</w:t>
      </w:r>
    </w:p>
    <w:p>
      <w:pPr>
        <w:spacing w:before="0" w:after="120"/>
      </w:pPr>
      <w:r>
        <w:rPr>
          <w:i/>
          <w:color w:val="444444"/>
        </w:rPr>
        <w:t xml:space="preserve">A clause-by-clause reviewer checklist for North Carolina employee restrictive covenant agreements — confidentiality, non-solicits, non-competes, and non-disparagement under the Whittaker five-element test, the § 75-4 signed-writing rule, and the strict blue-pencil doctrine.</w:t>
      </w:r>
    </w:p>
    <w:p>
      <w:pPr>
        <w:spacing w:before="0" w:after="240"/>
      </w:pPr>
      <w:r>
        <w:rPr>
          <w:color w:val="666666"/>
          <w:sz w:val="18"/>
          <w:szCs w:val="18"/>
        </w:rPr>
        <w:t xml:space="preserve">By Steven Obiajulu, J.D. Last reviewed 2026-06-12. License: CC BY 4.0. https://openagreements.org/checklists/non-compete/us/north-carolina</w:t>
      </w:r>
    </w:p>
    <w:p>
      <w:pPr>
        <w:keepNext/>
        <w:spacing w:before="360" w:after="160"/>
      </w:pPr>
      <w:r>
        <w:rPr>
          <w:b/>
          <w:sz w:val="28"/>
          <w:szCs w:val="28"/>
        </w:rPr>
        <w:t xml:space="preserve">1. Parties and cover-term identification</w:t>
      </w:r>
    </w:p>
    <w:p>
      <w:pPr>
        <w:spacing w:before="0" w:after="120"/>
      </w:pPr>
      <w:r>
        <w:t xml:space="preserve">Review every item below the way a North Carolina court would: the covenant is a disfavored partial restraint of trade, read strictly against the drafter, enforceable only when all five common-law elements hold — and never repaired by judicial rewriting. For the question-by-question legal analysis behind these items, see the </w:t>
      </w:r>
      <w:r>
        <w:t xml:space="preserve">North Carolina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employer named is the entity that actually holds the customer relationships and confidential information the covenants protect. North Carolina measures both the legitimate interest and the permissible territory against the employer's own customers, so a covenant running to a parent or affiliate the worker never served opens a gap between the restraint and any interest that could support it.</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does more than start the clock in this state: whether the covenant was signed at hire or after the relationship began decides whether new consideration — a raise in pay or a new job assignment, for example — was required at all. An undated agreement leaves that threshold question, and every duration calculation, open for litigation.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and duties with some precision, because the scope analysis runs through them: a restraint that bars work distinct from what the employee actually did fails, and the stated title plus duty description is the first evidence of what the employee actually did. The actual-duties gate at the end of this checklist does the substantive work.</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the stated governing law, and read it separately from the forum clause rather than as one unit. For a contract entered into in North Carolina, an out-of-state forum or arbitration-venue selection is void as against public policy, while an out-of-state choice-of-law clause is not automatically void — the two selections live or die on different rules.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Compare the definition to the Trade Secrets Protection Act benchmark: information that derives independent commercial value from not being generally known and is subject to reasonable secrecy efforts. A confidentiality definition that tracks the statute keeps the fallback claim alive even where a covenant fails, because the trade-secret remedy does not depend on a valid restraint.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a separate defined term aligned with the statutory definition. In North Carolina the Act, not the covenant, supplies the durable protection — injunctions, damages, and punitive damages for willful misappropriation survive even when a non-compete is struck — and a bloated definition sweeping in ordinary know-how dilutes the claim that matters most.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umbrella Restricted Period keeps each covenant's duration auditable against the reasonableness test, where time and territory are weighed together on a sliding scale — the longer the period, the tighter the footprint must be. Because a North Carolina court will not shorten an unreasonable term, the stated period has to be defensible exactly as written.</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territory to where the employee actually worked and built customer relationships. A geographic restriction is reasonable only to the extent it protects the employer's interest in keeping its existing customers, so a footprint-wide or aspirational territory is among the most reliable ways to lose the whole covenant.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employee actually served during a stated look-back window. A definition that reaches clients the employer itself never had is an impermissible restraint on the worker, so prospects and aspirational accounts belong outside the defined term.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employee actually worked with during the look-back window. North Carolina has no statute on employee non-solicits, so the clause stands or falls on ordinary restraint-of-trade reasonableness — and a workforce-wide mobility ban is the version most likely to fall.</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concretely, and make sure the facts can carry them: before any restraint is reasonably necessary in this state, the employee must have acquired intimate knowledge of the business not generally available to the public. A recital cannot supply that knowledge if the role never delivered it.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Define the competing activity by reference to what the employee actually did, not every line of the employer's business. Covenants that prohibit future work distinct from the duties the employee actually performed are unenforceable, and an any-capacity definition is the classic way to trip that rule.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 public-holdings carve-out below a stated percentage. A covenant construed strictly against the drafter, with no judicial rewriting available, cannot afford gratuitous overbreadth like a technical ban on index funds and ordinary public shares.</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If the capitalized term exists, check that its percentage agrees with the operative carve-out it serves; if it does not, inline carve-out language carries the same load without a defined term.</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the clause reaches only active outreach or also passive acceptance, and say which expressly. North Carolina reads the verbs solicit, recruit, and induce to require active persuasion, so a clause that stops at those words does not prohibit hiring someone who shows up on their own.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expiration of a fixed term consistently, because the Restricted Period and any express extension-on-breach clause both run from this event. Ambiguity about who ended the relationship, and when, becomes ambiguity about when every covenant expires.</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Timing is the consideration question in this state: a covenant signed after employment already exists must rest on new consideration, and continued at-will employment is not it. The acknowledgement should pin down the signing date relative to the first day of work and recite exactly what consideration moved — a raise, a new assignment, or a payment.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North Carolina statute requires it, but the covenant is construed strictly against the drafter, and a documented opportunity to review with counsel is inexpensive evidence of arms-length dealing if procedural fairness is later questioned.</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 that is how federal law defines the right — while everything else gets a finite term. The two-track structure matters in North Carolina because the trade-secret claim is the protection that survives a failed covenant; a fixed expiry quietly surrenders it.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non-trade-secret confidential information its own stated end date. A perpetual lid on ordinary business information reads as overreach in a state that construes restraints strictly against the drafter and never trims them down to reasonable.</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and non-negotiable: omit the immunity notice and the employer forfeits exemplary damages and attorney fees in a later trade-secret action against the worker. In a state where the trade-secret claim often outlives the covenant, those remedies are worth keeping intact.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Make sure confidentiality and non-disparagement clauses step around wages, hours, and working conditions. Federal labor law protects that discussion in every state, and the Board treats overbroad terms offered to employees as unlawful on their own.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block legally compelled disclosure, and drafting as if it could only invites a strict-construction reading of everything around it.</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Return-or-destroy at separation, certified in writing. The Trade Secrets Protection Act protects only information that is the subject of reasonable secrecy efforts, and a clean exit protocol with a signed certification is both that kind of effort and the contemporaneous evidence the employer wants if protected material later surfaces at a competitor.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lowest-risk covenant in the family here when the verbs are chosen deliberately. A clause limited to soliciting, recruiting, or inducing requires active persuasion and will not reach a passive hire — so decide whether a no-hire term is actually intended and, if so, say it expressly rather than assuming the non-solicit covers it.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generally the employer's sturdiest restraint when held to actual relationships. Keep it inside the Covered Customers class: walling off clients the employer itself failed to win is an impermissible restraint, and overbreadth in this state is fixed by striking, never by narrowing.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a covered customer even when the customer makes the first call, which makes it a heavier restraint than a non-solicit. North Carolina upholds partial restraints only when supported by valuable consideration, reasonably necessary to protect the covenantee, and not against public policy — so treat inclusion as a deliberate risk decision and scope it at least as tightly as the non-solicit beside it.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non-compete appears at all, route the review straight through the North Carolina gates at the end of this checklist — the five-element test, the signed writing, the consideration timing, and the actual-duties and customer-territory limits. The covenant is a disfavored partial restraint against the backdrop of a statute declaring restraints of trade illegal, and one defective element ends the analysis.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names instead of leaning on the open-ended Competitive Business definition. A restraint too broad to be a reasonable protection of the business is simply not enforced in this state, and a named list is the cheapest way to keep the covenant inside that line.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remember that an unreasonable scope is struck rather than shrunk, taking the whole provision with it unless it was drafted as a distinctly separable unit.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Include it with a stated duration, then read the carve-outs harder than the covenant: truthful testimony, statements to government agencies, and protected workplace speech have to stay outside the clause under federal labor law, no matter which state's law governs the agreement.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Public-health check for physician covenants</w:t>
      </w:r>
      <w:r>
        <w:t xml:space="preserve"> — Recommended (SHOULD)</w:t>
      </w:r>
    </w:p>
    <w:p>
      <w:pPr>
        <w:spacing w:before="0" w:after="120"/>
        <w:ind w:left="540"/>
      </w:pPr>
      <w:r>
        <w:t xml:space="preserve">Treat any physician or health-care restraint as contested even when its time and territory look reasonable. A North Carolina court will refuse enforcement where ordering compliance would create a substantial question of potential harm to the public health, weighing the shortage of specialists in the restricted area, the impact of establishing a local monopoly — future fees and emergency availability included — and the public interest in a choice of physician. Run those factors against the local market before anyone relies on the clause; no recital drafts around them. </w:t>
      </w:r>
      <w:r>
        <w:t xml:space="preserve"> A pending bill would bar non-compete clauses for hospital-employed health-care professionals outright; it has not been enacted, so the weighing test still governs — but check its status before papering a hospital clinician.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covenant or court order blocks the new role. It works in both directions on intake: it surfaces a prior employer's restraint before the first customer call, and it protects this employer against a tortious-interference claim built on knowingly hiring into someone else's covenant.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rather than a default. A notice clause can support enforcement, but a warning letter built on a covenant that fails the five-element test invites a tortious-interference counterclaim — condition any third-party notice on a covenant the employer still believes clears the gates at the end of this checklist.</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Express extension during a breach</w:t>
      </w:r>
      <w:r>
        <w:t xml:space="preserve"> — Recommended (SHOULD)</w:t>
      </w:r>
    </w:p>
    <w:p>
      <w:pPr>
        <w:spacing w:before="0" w:after="120"/>
        <w:ind w:left="540"/>
      </w:pPr>
      <w:r>
        <w:t xml:space="preserve">If the employer wants the restricted period to extend for time the worker spends in breach, the clause has to say so expressly — and for how long. Federal courts applying North Carolina law have enforced express extension-on-breach clauses, in one case stretching the covenant by eleven months of non-compliance, but those are persuasive federal applications and no state appellate decision recognizes equitable tolling. Silence leaves the question unsettled rather than answered in the employer's favor.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irreparable-harm acknowledgement, then discount it appropriately: reasonableness is a matter of law for the court and the party seeking enforcement carries the burden of proving the covenant reasonable, so the recital smooths the path to an injunction without ever substituting for the employer's proof. </w:t>
      </w:r>
    </w:p>
    <w:p>
      <w:pPr>
        <w:keepNext/>
        <w:spacing w:before="200" w:after="80"/>
      </w:pPr>
      <w:r>
        <w:rPr>
          <w:rFonts w:ascii="Segoe UI Symbol" w:hAnsi="Segoe UI Symbol"/>
        </w:rPr>
        <w:t xml:space="preserve">☐  </w:t>
      </w:r>
      <w:r>
        <w:rPr>
          <w:b/>
        </w:rPr>
        <w:t xml:space="preserve">13.2  </w:t>
      </w:r>
      <w:r>
        <w:rPr>
          <w:b/>
        </w:rPr>
        <w:t xml:space="preserve">No reliance on fee-shifting</w:t>
      </w:r>
      <w:r>
        <w:t xml:space="preserve"> — Avoid (SHOULD NOT)</w:t>
      </w:r>
    </w:p>
    <w:p>
      <w:pPr>
        <w:spacing w:before="0" w:after="120"/>
        <w:ind w:left="540"/>
      </w:pPr>
      <w:r>
        <w:t xml:space="preserve">Read any fee clause as a negotiating term, not a recovery plan. North Carolina's reciprocal business-contract fee statute expressly excludes employment contracts, so a fee-shifting provision in an employment non-compete generally will not support an award; the realistic path is the discretionary award to a prevailing party on an unfair-trade-practices claim, on findings of willfulness or a frivolous and malicious action. Flag a clause promising either side fees these statutes will not deliver.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Severable terms, not court rescue</w:t>
      </w:r>
      <w:r>
        <w:t xml:space="preserve"> — Avoid (SHOULD NOT)</w:t>
      </w:r>
    </w:p>
    <w:p>
      <w:pPr>
        <w:spacing w:before="0" w:after="120"/>
        <w:ind w:left="540"/>
      </w:pPr>
      <w:r>
        <w:t xml:space="preserve">Read the severability clause as the only repair mechanism the law allows here, and any reformation clause as a dead letter. A North Carolina court may strike a distinctly separable unreasonable term but cannot rewrite a faulty covenant, and a clause purporting to authorize judicial revision changes nothing — parties cannot contract to give a court a power it does not have. Check that time, territory, and activity scope are drafted as divisible units, each reasonable standing alone (tiered territories, stepped durations, separately stated restraints), so a strike leaves something worth enforcing.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everywhere else. The discipline also serves the severance strategy: the more clearly each covenant stands on its own, the more plausibly a court treats an overbroad one as distinctly separable from the rest.</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Covenants surface in M&amp;A diligence, and a successor enforcing an assigned covenant inherits the same five-element analysis and strike-only severance the original employer faced — assignment moves the covenant without strengthening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North Carolina forum for North Carolina contracts</w:t>
      </w:r>
      <w:r>
        <w:t xml:space="preserve"> — Prohibited (MUST NOT)</w:t>
      </w:r>
    </w:p>
    <w:p>
      <w:pPr>
        <w:spacing w:before="0" w:after="120"/>
        <w:ind w:left="540"/>
      </w:pPr>
      <w:r>
        <w:t xml:space="preserve">For a covenant entered into in North Carolina, the agreement must not require litigation or arbitration in another state — such a provision is against public policy, void and unenforceable. The bar reaches forum-selection and arbitration-venue clauses but not, by itself, an out-of-state choice-of-law clause, so analyze the two selections separately. The clause should still state governing law, venue, and dispute process: an in-state forum is the only forum selection that operates as written, and a national form's out-of-state venue clause is the surest sign the agreement was never localized.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statutory hook: any agreement limiting the right to do business in the State is unenforceable unless in writing and duly signed by the restrained party, so the amendment mechanics should require the same signed writing. An oral or unsigned modification of a covenant's scope buys the employer nothing. </w:t>
      </w:r>
    </w:p>
    <w:p>
      <w:pPr>
        <w:keepNext/>
        <w:spacing w:before="360" w:after="160"/>
      </w:pPr>
      <w:r>
        <w:rPr>
          <w:b/>
          <w:sz w:val="28"/>
          <w:szCs w:val="28"/>
        </w:rPr>
        <w:t xml:space="preserve">19. North Carolina enforceability gates (Whittaker and § 75-4)</w:t>
      </w:r>
    </w:p>
    <w:p>
      <w:pPr>
        <w:spacing w:before="0" w:after="120"/>
      </w:pPr>
      <w:r>
        <w:t xml:space="preserve">The four items below exist only on this North Carolina page: they implement the five-element common-law test, the statutory signed-writing rule, and the consideration and scope limits that decide enforceability before any individual clause is worth reading.</w:t>
      </w:r>
    </w:p>
    <w:p>
      <w:pPr>
        <w:keepNext/>
        <w:spacing w:before="200" w:after="80"/>
      </w:pPr>
      <w:r>
        <w:rPr>
          <w:rFonts w:ascii="Segoe UI Symbol" w:hAnsi="Segoe UI Symbol"/>
        </w:rPr>
        <w:t xml:space="preserve">☐  </w:t>
      </w:r>
      <w:r>
        <w:rPr>
          <w:b/>
        </w:rPr>
        <w:t xml:space="preserve">19.1  </w:t>
      </w:r>
      <w:r>
        <w:rPr>
          <w:b/>
        </w:rPr>
        <w:t xml:space="preserve">Five-element enforceability test</w:t>
      </w:r>
      <w:r>
        <w:t xml:space="preserve"> — Required (MUST)</w:t>
      </w:r>
    </w:p>
    <w:p>
      <w:pPr>
        <w:spacing w:before="0" w:after="120"/>
        <w:ind w:left="540"/>
      </w:pPr>
      <w:r>
        <w:t xml:space="preserve">Run the non-compete through all five elements first: in writing, made part of a contract of employment, based on valuable consideration, reasonable both as to time and territory, and not against public policy. The backdrop is a statute declaring every contract in restraint of trade illegal, so the covenant is read strictly against the drafter, a single defective element defeats enforcement, and no judicial rewriting is available to repair the defect afterward. </w:t>
      </w:r>
    </w:p>
    <w:p>
      <w:pPr>
        <w:keepNext/>
        <w:spacing w:before="200" w:after="80"/>
      </w:pPr>
      <w:r>
        <w:rPr>
          <w:rFonts w:ascii="Segoe UI Symbol" w:hAnsi="Segoe UI Symbol"/>
        </w:rPr>
        <w:t xml:space="preserve">☐  </w:t>
      </w:r>
      <w:r>
        <w:rPr>
          <w:b/>
        </w:rPr>
        <w:t xml:space="preserve">19.2  </w:t>
      </w:r>
      <w:r>
        <w:rPr>
          <w:b/>
        </w:rPr>
        <w:t xml:space="preserve">Signed writing under § 75-4</w:t>
      </w:r>
      <w:r>
        <w:t xml:space="preserve"> — Required (MUST)</w:t>
      </w:r>
    </w:p>
    <w:p>
      <w:pPr>
        <w:spacing w:before="0" w:after="120"/>
        <w:ind w:left="540"/>
      </w:pPr>
      <w:r>
        <w:t xml:space="preserve">Check the execution block that matters: the statute makes any agreement limiting the right to do business in the State unenforceable unless it is in writing and duly signed by the party who agrees not to compete. The worker's signature is the one the statute keys on — an employer-signed counterpart missing the employee's signature fails the statutory floor, and there is no oral, implied, or course-of-conduct substitute. The rule reaches every restraint covenant in the agreement, not just the non-compete. </w:t>
      </w:r>
    </w:p>
    <w:p>
      <w:pPr>
        <w:keepNext/>
        <w:spacing w:before="200" w:after="80"/>
      </w:pPr>
      <w:r>
        <w:rPr>
          <w:rFonts w:ascii="Segoe UI Symbol" w:hAnsi="Segoe UI Symbol"/>
        </w:rPr>
        <w:t xml:space="preserve">☐  </w:t>
      </w:r>
      <w:r>
        <w:rPr>
          <w:b/>
        </w:rPr>
        <w:t xml:space="preserve">19.3  </w:t>
      </w:r>
      <w:r>
        <w:rPr>
          <w:b/>
        </w:rPr>
        <w:t xml:space="preserve">New consideration for mid-employment covenants</w:t>
      </w:r>
      <w:r>
        <w:t xml:space="preserve"> — Prohibited (MUST NOT)</w:t>
      </w:r>
    </w:p>
    <w:p>
      <w:pPr>
        <w:spacing w:before="0" w:after="120"/>
        <w:ind w:left="540"/>
      </w:pPr>
      <w:r>
        <w:t xml:space="preserve">If the covenant was signed after employment began, continued at-will employment cannot be the consideration: something new must actually move — a raise, a new job assignment, a payment — and the instrument should recite what it was. The amount can be modest, because courts do not weigh adequacy and a few hundred dollars has satisfied the element. </w:t>
      </w:r>
      <w:r>
        <w:t xml:space="preserve"> A covenant signed at hire needs no separate payment; the offer of new employment is itself valuable consideration. </w:t>
      </w:r>
    </w:p>
    <w:p>
      <w:pPr>
        <w:keepNext/>
        <w:spacing w:before="200" w:after="80"/>
      </w:pPr>
      <w:r>
        <w:rPr>
          <w:rFonts w:ascii="Segoe UI Symbol" w:hAnsi="Segoe UI Symbol"/>
        </w:rPr>
        <w:t xml:space="preserve">☐  </w:t>
      </w:r>
      <w:r>
        <w:rPr>
          <w:b/>
        </w:rPr>
        <w:t xml:space="preserve">19.4  </w:t>
      </w:r>
      <w:r>
        <w:rPr>
          <w:b/>
        </w:rPr>
        <w:t xml:space="preserve">Restraint confined to actual duties and customer territory</w:t>
      </w:r>
      <w:r>
        <w:t xml:space="preserve"> — Prohibited (MUST NOT)</w:t>
      </w:r>
    </w:p>
    <w:p>
      <w:pPr>
        <w:spacing w:before="0" w:after="120"/>
        <w:ind w:left="540"/>
      </w:pPr>
      <w:r>
        <w:t xml:space="preserve">Strike-test the scope against the job the employee actually held: the covenant must not bar future work distinct from the duties the employee actually performed, and must not claim territory beyond what protects the employer's interest in keeping its customers. Reasonableness is a question of law on which the enforcing employer bears the burden, and a covenant too broad to be reasonable protection is refused, not resized. Any-capacity prohibitions and footprint-wide territories are the two fatal drafting choices this gate exists to catch. </w:t>
      </w:r>
    </w:p>
    <w:p>
      <w:pPr>
        <w:spacing w:before="360" w:after="0"/>
      </w:pPr>
      <w:r>
        <w:rPr>
          <w:color w:val="666666"/>
          <w:sz w:val="16"/>
          <w:szCs w:val="16"/>
        </w:rPr>
        <w:t xml:space="preserve">Steven Obiajulu, J.D. edits this review checklist for North Carolina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