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Oklahoma</w:t>
      </w:r>
    </w:p>
    <w:p>
      <w:pPr>
        <w:spacing w:before="0" w:after="120"/>
      </w:pPr>
      <w:r>
        <w:rPr>
          <w:i/>
          <w:color w:val="444444"/>
        </w:rPr>
        <w:t xml:space="preserve">A clause-by-clause reviewer checklist for Oklahoma restrictive covenant agreements — screening void non-competes under 15 O.S. § 217, fitting customer non-solicits to § 219A's direct-solicitation shape, and checking the surviving confidentiality and anti-raiding suite.</w:t>
      </w:r>
    </w:p>
    <w:p>
      <w:pPr>
        <w:spacing w:before="0" w:after="240"/>
      </w:pPr>
      <w:r>
        <w:rPr>
          <w:color w:val="666666"/>
          <w:sz w:val="18"/>
          <w:szCs w:val="18"/>
        </w:rPr>
        <w:t xml:space="preserve">By Steven Obiajulu, J.D. Last reviewed 2026-06-11. License: CC BY 4.0. https://openagreements.org/checklists/non-compete/us/oklahoma</w:t>
      </w:r>
    </w:p>
    <w:p>
      <w:pPr>
        <w:keepNext/>
        <w:spacing w:before="360" w:after="160"/>
      </w:pPr>
      <w:r>
        <w:rPr>
          <w:b/>
          <w:sz w:val="28"/>
          <w:szCs w:val="28"/>
        </w:rPr>
        <w:t xml:space="preserve">1. Parties and cover-term identification</w:t>
      </w:r>
    </w:p>
    <w:p>
      <w:pPr>
        <w:spacing w:before="0" w:after="120"/>
      </w:pPr>
      <w:r>
        <w:t xml:space="preserve">Review an Oklahoma agreement in two passes: first screen for restraints the statute simply voids — a conventional non-compete is unenforceable here no matter how reasonable its terms look — then verify that whatever survives fits its statutory shape, especially the customer non-solicit, which 15 O.S. § 219A confines to direct solicitation of established customers. The question-by-question legal analysis behind these items lives in the </w:t>
      </w:r>
      <w:r>
        <w:t xml:space="preserve">Oklahoma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Pin down which entity is the employer of record. Oklahoma's customer carve-out protects the </w:t>
      </w:r>
      <w:r>
        <w:rPr>
          <w:i/>
        </w:rPr>
        <w:t xml:space="preserve">established customers of the former employer</w:t>
      </w:r>
      <w:r>
        <w:t xml:space="preserve"> — a covenant signed with a parent or affiliate that has no customer relationship of its own leaves unclear whose customers the clause can lawfully reach.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Confirm a stated effective date. The surviving Oklahoma covenants are judged partly on how long they run, and an undated agreement makes every duration argument — and the timing of the consideration that supported it — harder to reconstruct later.</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but expect it to change nothing about enforceability: Oklahoma has no executive, high-earner, or professional-staff pathway that buys a non-compete back. The void rule applies to every lawful profession, trade, or business, from technician to officer.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state is named, and treat a foreign choice for an Oklahoma employee as a signal rather than a solution: an Oklahoma court will refuse to apply chosen law that violates the state's public policy against restraints on work. The governing-law section later in this checklist explains why the venue clause deserves more attention than this one.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Keep the definition aimed at information, not at work. A confidentiality clause survives in Oklahoma precisely because it restrains the misuse of protected material rather than the exercise of a trade — a definition so broad that observing it would effectively stop the employee from practicing their occupation drifts toward the restraint § 217 voids.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A separate trade-secret definition matters more here than in most states: with the non-compete off the table, the Oklahoma Uniform Trade Secrets Act is the employer's most durable protection, and a clean definition is what connects the contract to the statute's injunction and damages remedies.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umbrella Restricted Period keeps the surviving covenants auditable. Oklahoma gives those covenants no statutory term limit, but the common-law rule of reason still governs how long they may run — a defined period is what that reasonableness review attaches to. </w:t>
      </w:r>
    </w:p>
    <w:p>
      <w:pPr>
        <w:keepNext/>
        <w:spacing w:before="200" w:after="80"/>
      </w:pPr>
      <w:r>
        <w:rPr>
          <w:rFonts w:ascii="Segoe UI Symbol" w:hAnsi="Segoe UI Symbol"/>
        </w:rPr>
        <w:t xml:space="preserve">☐  </w:t>
      </w:r>
      <w:r>
        <w:rPr>
          <w:b/>
        </w:rPr>
        <w:t xml:space="preserve">2.4  </w:t>
      </w:r>
      <w:r>
        <w:rPr>
          <w:b/>
        </w:rPr>
        <w:t xml:space="preserve">Covered customers</w:t>
      </w:r>
      <w:r>
        <w:t xml:space="preserve"> — Recommended (SHOULD)</w:t>
      </w:r>
    </w:p>
    <w:p>
      <w:pPr>
        <w:spacing w:before="0" w:after="120"/>
        <w:ind w:left="540"/>
      </w:pPr>
      <w:r>
        <w:t xml:space="preserve">Hold this definition against the statutory phrase: the customer class may not be wider than the </w:t>
      </w:r>
      <w:r>
        <w:rPr>
          <w:i/>
        </w:rPr>
        <w:t xml:space="preserve">established customers</w:t>
      </w:r>
      <w:r>
        <w:t xml:space="preserve"> of the former employer. A definition sweeping in prospects, former customers, or anyone the company ever quoted defines the clause straight into conflict with § 219A. </w:t>
      </w:r>
    </w:p>
    <w:p>
      <w:pPr>
        <w:keepNext/>
        <w:spacing w:before="200" w:after="80"/>
      </w:pPr>
      <w:r>
        <w:rPr>
          <w:rFonts w:ascii="Segoe UI Symbol" w:hAnsi="Segoe UI Symbol"/>
        </w:rPr>
        <w:t xml:space="preserve">☐  </w:t>
      </w:r>
      <w:r>
        <w:rPr>
          <w:b/>
        </w:rPr>
        <w:t xml:space="preserve">2.5  </w:t>
      </w:r>
      <w:r>
        <w:rPr>
          <w:b/>
        </w:rPr>
        <w:t xml:space="preserve">Covered employees</w:t>
      </w:r>
      <w:r>
        <w:t xml:space="preserve"> — Recommended (SHOULD)</w:t>
      </w:r>
    </w:p>
    <w:p>
      <w:pPr>
        <w:spacing w:before="0" w:after="120"/>
        <w:ind w:left="540"/>
      </w:pPr>
      <w:r>
        <w:t xml:space="preserve">The anti-raiding statute is generous about who can be protected — employees and independent contractors alike — so the definition can cover both. Discipline still helps: a class limited to people the departing employee actually worked with reads as workforce protection rather than a backdoor restraint. </w:t>
      </w:r>
    </w:p>
    <w:p>
      <w:pPr>
        <w:keepNext/>
        <w:spacing w:before="200" w:after="80"/>
      </w:pPr>
      <w:r>
        <w:rPr>
          <w:rFonts w:ascii="Segoe UI Symbol" w:hAnsi="Segoe UI Symbol"/>
        </w:rPr>
        <w:t xml:space="preserve">☐  </w:t>
      </w:r>
      <w:r>
        <w:rPr>
          <w:b/>
        </w:rPr>
        <w:t xml:space="preserve">2.6  </w:t>
      </w:r>
      <w:r>
        <w:rPr>
          <w:b/>
        </w:rPr>
        <w:t xml:space="preserve">Protected business interests</w:t>
      </w:r>
      <w:r>
        <w:t xml:space="preserve"> — Recommended (SHOULD)</w:t>
      </w:r>
    </w:p>
    <w:p>
      <w:pPr>
        <w:spacing w:before="0" w:after="120"/>
        <w:ind w:left="540"/>
      </w:pPr>
      <w:r>
        <w:t xml:space="preserve">Name the interests, but know that recitals cannot expand the menu. Oklahoma's protectable slice is fixed by statute — established customer relationships, the workforce, purchased goodwill, and trade secrets — and a recital claiming a broader competitive interest does not create a covenant the statutes refuse to permit.</w:t>
      </w:r>
    </w:p>
    <w:p>
      <w:pPr>
        <w:keepNext/>
        <w:spacing w:before="200" w:after="80"/>
      </w:pPr>
      <w:r>
        <w:rPr>
          <w:rFonts w:ascii="Segoe UI Symbol" w:hAnsi="Segoe UI Symbol"/>
        </w:rPr>
        <w:t xml:space="preserve">☐  </w:t>
      </w:r>
      <w:r>
        <w:rPr>
          <w:b/>
        </w:rPr>
        <w:t xml:space="preserve">2.7  </w:t>
      </w:r>
      <w:r>
        <w:rPr>
          <w:b/>
        </w:rPr>
        <w:t xml:space="preserve">Small public-stock carve-out</w:t>
      </w:r>
      <w:r>
        <w:t xml:space="preserve"> — Recommended (SHOULD)</w:t>
      </w:r>
    </w:p>
    <w:p>
      <w:pPr>
        <w:spacing w:before="0" w:after="120"/>
        <w:ind w:left="540"/>
      </w:pPr>
      <w:r>
        <w:t xml:space="preserve">Where any clause restricts owning or investing in competing businesses, look for a passive-holdings carve-out below a stated percentage. A restriction that catches index funds and ordinary public shares restrains far more than any interest Oklahoma recognizes, in a state whose baseline instinct is to void restraints on carrying on a business. </w:t>
      </w:r>
    </w:p>
    <w:p>
      <w:pPr>
        <w:keepNext/>
        <w:spacing w:before="200" w:after="80"/>
      </w:pPr>
      <w:r>
        <w:rPr>
          <w:rFonts w:ascii="Segoe UI Symbol" w:hAnsi="Segoe UI Symbol"/>
        </w:rPr>
        <w:t xml:space="preserve">☐  </w:t>
      </w:r>
      <w:r>
        <w:rPr>
          <w:b/>
        </w:rPr>
        <w:t xml:space="preserve">2.8  </w:t>
      </w:r>
      <w:r>
        <w:rPr>
          <w:b/>
        </w:rPr>
        <w:t xml:space="preserve">Passive public holdings</w:t>
      </w:r>
      <w:r>
        <w:t xml:space="preserve"> — Optional (MAY)</w:t>
      </w:r>
    </w:p>
    <w:p>
      <w:pPr>
        <w:spacing w:before="0" w:after="120"/>
        <w:ind w:left="540"/>
      </w:pPr>
      <w:r>
        <w:t xml:space="preserve">Optional drafting mechanics — many agreements inline the carve-out without a capitalized term. If the defined term exists, confirm its threshold matches the operative carve-out language.</w:t>
      </w:r>
    </w:p>
    <w:p>
      <w:pPr>
        <w:keepNext/>
        <w:spacing w:before="200" w:after="80"/>
      </w:pPr>
      <w:r>
        <w:rPr>
          <w:rFonts w:ascii="Segoe UI Symbol" w:hAnsi="Segoe UI Symbol"/>
        </w:rPr>
        <w:t xml:space="preserve">☐  </w:t>
      </w:r>
      <w:r>
        <w:rPr>
          <w:b/>
        </w:rPr>
        <w:t xml:space="preserve">2.9  </w:t>
      </w:r>
      <w:r>
        <w:rPr>
          <w:b/>
        </w:rPr>
        <w:t xml:space="preserve">What counts as soliciting</w:t>
      </w:r>
      <w:r>
        <w:t xml:space="preserve"> — Recommended (SHOULD)</w:t>
      </w:r>
    </w:p>
    <w:p>
      <w:pPr>
        <w:spacing w:before="0" w:after="120"/>
        <w:ind w:left="540"/>
      </w:pPr>
      <w:r>
        <w:t xml:space="preserve">This definition carries unusual weight in Oklahoma because the lawful scope differs by target: customer restrictions may reach only </w:t>
      </w:r>
      <w:r>
        <w:rPr>
          <w:i/>
        </w:rPr>
        <w:t xml:space="preserve">direct</w:t>
      </w:r>
      <w:r>
        <w:t xml:space="preserve"> solicitation, while employee anti-raiding clauses may reach direct or indirect solicitation. A single definition that bakes indirect conduct or passive acceptance into the customer covenant infects that clause with the very word the courts refuse to blue-pencil out. </w:t>
      </w:r>
    </w:p>
    <w:p>
      <w:pPr>
        <w:keepNext/>
        <w:spacing w:before="200" w:after="80"/>
      </w:pPr>
      <w:r>
        <w:rPr>
          <w:rFonts w:ascii="Segoe UI Symbol" w:hAnsi="Segoe UI Symbol"/>
        </w:rPr>
        <w:t xml:space="preserve">☐  </w:t>
      </w:r>
      <w:r>
        <w:rPr>
          <w:b/>
        </w:rPr>
        <w:t xml:space="preserve">2.10  </w:t>
      </w:r>
      <w:r>
        <w:rPr>
          <w:b/>
        </w:rPr>
        <w:t xml:space="preserve">Termination of employment</w:t>
      </w:r>
      <w:r>
        <w:t xml:space="preserve"> — Recommended (SHOULD)</w:t>
      </w:r>
    </w:p>
    <w:p>
      <w:pPr>
        <w:spacing w:before="0" w:after="120"/>
        <w:ind w:left="540"/>
      </w:pPr>
      <w:r>
        <w:t xml:space="preserve">Verify the trigger treats resignation, dismissal, and the end of a fixed term consistently. Section 219A speaks from the moment the employment relationship has been terminated, so the surviving covenants' clocks — and any consideration analysis — all hang off this definition being unambiguous.</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Have the acknowledgement record whether signing happened at hire or mid-employment, and what the employee received. Oklahoma has never settled whether continued at-will employment alone supports a mid-employment covenant — and no amount of consideration rescues a clause whose substance conflicts with the statute.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Oklahoma statute requires it, but the acknowledgement is cheap procedural-fairness evidence — and in a state where the covenant menu is this constrained, a documented chance to take advice undercuts later claims that the employee never understood what survived.</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 that is how the federal definition works, and Oklahoma's trade-secret act is the strongest protection left standing once the non-compete is gone. A fixed expiry on trade-secret confidentiality quietly surrenders the one tool the ban never touches.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The two-track structure keeps the perpetual obligation tied to genuine trade secrets — and a confidentiality clause that locks up everything forever starts to look like the indirect restraint on working that Oklahoma law refuses to enforce.</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applies with full force in Oklahoma: without the immunity notice, the employer forfeits exemplary damages and attorney fees in a later trade-secret action against the employee. Since trade-secret litigation is the main enforcement path an Oklahoma employer has left, skipping the notice is self-sabotage.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must leave employees free to discuss wages, hours, and working conditions. That protection is federal labor law and does not bend to any state's covenant regime, and the Board has been striking overbroad employee-agreement clauses.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standard carve-out: disclosure required by law, court order, or a government investigation, with notice to the employer where lawful. Confidentiality cannot block legally compelled disclosure, and the carve-out keeps the clause from overpromising.</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Because an Oklahoma employer protects itself through information rather than through competition restraints, the certification is often the first concrete evidence in a misappropriation case — it fixes what the employee said they kept.</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covenant Oklahoma treats most generously: the anti-raiding statute expressly removes these clauses from the restraint-of-trade prohibition and lets them reach direct or indirect, active or inactive solicitation of employees and independent contractors. Verify the clause stays on solicitation — the Oklahoma statutory gates at the end of this checklist cover the no-hire trap. </w:t>
      </w:r>
    </w:p>
    <w:p>
      <w:pPr>
        <w:keepNext/>
        <w:spacing w:before="200" w:after="80"/>
      </w:pPr>
      <w:r>
        <w:rPr>
          <w:rFonts w:ascii="Segoe UI Symbol" w:hAnsi="Segoe UI Symbol"/>
        </w:rPr>
        <w:t xml:space="preserve">☐  </w:t>
      </w:r>
      <w:r>
        <w:rPr>
          <w:b/>
        </w:rPr>
        <w:t xml:space="preserve">7.2  </w:t>
      </w:r>
      <w:r>
        <w:rPr>
          <w:b/>
        </w:rPr>
        <w:t xml:space="preserve">Customer non-solicit kept to direct solicitation</w:t>
      </w:r>
      <w:r>
        <w:t xml:space="preserve"> — Prohibited (MUST NOT)</w:t>
      </w:r>
    </w:p>
    <w:p>
      <w:pPr>
        <w:spacing w:before="0" w:after="120"/>
        <w:ind w:left="540"/>
      </w:pPr>
      <w:r>
        <w:t xml:space="preserve">Read this clause word by word against the statute: it may bar only </w:t>
      </w:r>
      <w:r>
        <w:rPr>
          <w:i/>
        </w:rPr>
        <w:t xml:space="preserve">direct</w:t>
      </w:r>
      <w:r>
        <w:t xml:space="preserve"> solicitation of the sale of goods or services from </w:t>
      </w:r>
      <w:r>
        <w:rPr>
          <w:i/>
        </w:rPr>
        <w:t xml:space="preserve">established customers</w:t>
      </w:r>
      <w:r>
        <w:t xml:space="preserve"> of the former employer. The words </w:t>
      </w:r>
      <w:r>
        <w:rPr>
          <w:i/>
        </w:rPr>
        <w:t xml:space="preserve">indirectly</w:t>
      </w:r>
      <w:r>
        <w:t xml:space="preserve">, </w:t>
      </w:r>
      <w:r>
        <w:rPr>
          <w:i/>
        </w:rPr>
        <w:t xml:space="preserve">prospective</w:t>
      </w:r>
      <w:r>
        <w:t xml:space="preserve">, or </w:t>
      </w:r>
      <w:r>
        <w:rPr>
          <w:i/>
        </w:rPr>
        <w:t xml:space="preserve">former customers</w:t>
      </w:r>
      <w:r>
        <w:t xml:space="preserve"> are not trims a court will make for the employer — the appellate courts void the whole provision instead, so each extra word is a kill switch rather than a stretch goal. </w:t>
      </w:r>
    </w:p>
    <w:p>
      <w:pPr>
        <w:keepNext/>
        <w:spacing w:before="200" w:after="80"/>
      </w:pPr>
      <w:r>
        <w:rPr>
          <w:rFonts w:ascii="Segoe UI Symbol" w:hAnsi="Segoe UI Symbol"/>
        </w:rPr>
        <w:t xml:space="preserve">☐  </w:t>
      </w:r>
      <w:r>
        <w:rPr>
          <w:b/>
        </w:rPr>
        <w:t xml:space="preserve">7.3  </w:t>
      </w:r>
      <w:r>
        <w:rPr>
          <w:b/>
        </w:rPr>
        <w:t xml:space="preserve">No non-dealing covenant</w:t>
      </w:r>
      <w:r>
        <w:t xml:space="preserve"> — Prohibited (MUST NOT)</w:t>
      </w:r>
    </w:p>
    <w:p>
      <w:pPr>
        <w:spacing w:before="0" w:after="120"/>
        <w:ind w:left="540"/>
      </w:pPr>
      <w:r>
        <w:t xml:space="preserve">A clause that forbids doing business with covered customers at all — even when the customer calls first — restrains more than the direct solicitation Oklahoma permits. The statute affirmatively entitles the former employee to engage in the same business as the old employer, and any provision in conflict is void and unenforceable; flag every accept-no-business formulation as such a conflict. </w:t>
      </w:r>
    </w:p>
    <w:p>
      <w:pPr>
        <w:keepNext/>
        <w:spacing w:before="200" w:after="80"/>
      </w:pPr>
      <w:r>
        <w:rPr>
          <w:rFonts w:ascii="Segoe UI Symbol" w:hAnsi="Segoe UI Symbol"/>
        </w:rPr>
        <w:t xml:space="preserve">☐  </w:t>
      </w:r>
      <w:r>
        <w:rPr>
          <w:b/>
        </w:rPr>
        <w:t xml:space="preserve">7.4  </w:t>
      </w:r>
      <w:r>
        <w:rPr>
          <w:b/>
        </w:rPr>
        <w:t xml:space="preserve">No employee non-compete</w:t>
      </w:r>
      <w:r>
        <w:t xml:space="preserve"> — Prohibited (MUST NOT)</w:t>
      </w:r>
    </w:p>
    <w:p>
      <w:pPr>
        <w:spacing w:before="0" w:after="120"/>
        <w:ind w:left="540"/>
      </w:pPr>
      <w:r>
        <w:t xml:space="preserve">The headline rule: an Oklahoma employment agreement may not restrain the employee from working in their profession, trade, or business after separation. There is no reasonableness rescue — duration, geography, and scope never get weighed, and the state supreme court has described conventional non-competes as going well beyond what the statute allows. If the clause exists, the finding is made; the only follow-up is what the parties intended the rest of the agreement to do without it. </w:t>
      </w:r>
    </w:p>
    <w:p>
      <w:pPr>
        <w:keepNext/>
        <w:spacing w:before="200" w:after="80"/>
      </w:pPr>
      <w:r>
        <w:rPr>
          <w:rFonts w:ascii="Segoe UI Symbol" w:hAnsi="Segoe UI Symbol"/>
        </w:rPr>
        <w:t xml:space="preserve">☐  </w:t>
      </w:r>
      <w:r>
        <w:rPr>
          <w:b/>
        </w:rPr>
        <w:t xml:space="preserve">7.5  </w:t>
      </w:r>
      <w:r>
        <w:rPr>
          <w:b/>
        </w:rPr>
        <w:t xml:space="preserve">Non-investment covenant</w:t>
      </w:r>
      <w:r>
        <w:t xml:space="preserve"> — Optional (MAY)</w:t>
      </w:r>
    </w:p>
    <w:p>
      <w:pPr>
        <w:spacing w:before="0" w:after="120"/>
        <w:ind w:left="540"/>
      </w:pPr>
      <w:r>
        <w:t xml:space="preserve">Rare, and untested in Oklahoma. No statute or reported decision squarely addresses investment restrictions, so review one by analogy: the closer it comes to stopping the employee from carrying on a business — as owner, advisor, or operator — the closer it sits to the restraint the void rule reaches. Confirm the passive-holdings carve-out is intact. </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Oklahoma's covenant statutes leave non-disparagement alone, so the clause rises or falls on federal limits: audit the carve-outs for truthful testimony, statements to government agencies, and protected workplace speech, which must sit outside the restriction. </w:t>
      </w:r>
    </w:p>
    <w:p>
      <w:pPr>
        <w:keepNext/>
        <w:spacing w:before="360" w:after="160"/>
      </w:pPr>
      <w:r>
        <w:rPr>
          <w:b/>
          <w:sz w:val="28"/>
          <w:szCs w:val="28"/>
        </w:rPr>
        <w:t xml:space="preserve">9. No conflicting obligations</w:t>
      </w:r>
    </w:p>
    <w:p>
      <w:pPr>
        <w:keepNext/>
        <w:spacing w:before="200" w:after="80"/>
      </w:pPr>
      <w:r>
        <w:rPr>
          <w:rFonts w:ascii="Segoe UI Symbol" w:hAnsi="Segoe UI Symbol"/>
        </w:rPr>
        <w:t xml:space="preserve">☐  </w:t>
      </w:r>
      <w:r>
        <w:rPr>
          <w:b/>
        </w:rPr>
        <w:t xml:space="preserve">9.1  </w:t>
      </w:r>
      <w:r>
        <w:rPr>
          <w:b/>
        </w:rPr>
        <w:t xml:space="preserve">No conflicting obligations</w:t>
      </w:r>
      <w:r>
        <w:t xml:space="preserve"> — Recommended (SHOULD)</w:t>
      </w:r>
    </w:p>
    <w:p>
      <w:pPr>
        <w:spacing w:before="0" w:after="120"/>
        <w:ind w:left="540"/>
      </w:pPr>
      <w:r>
        <w:t xml:space="preserve">The standard intake representation does double duty in Oklahoma: an incoming hire's covenant from another state may well be void here, but if it carries a mandatory out-of-state forum clause the fight can still happen elsewhere. Surfacing prior agreements before the first customer contact gives counsel time to assess that venue exposure.</w:t>
      </w:r>
    </w:p>
    <w:p>
      <w:pPr>
        <w:keepNext/>
        <w:spacing w:before="360" w:after="160"/>
      </w:pPr>
      <w:r>
        <w:rPr>
          <w:b/>
          <w:sz w:val="28"/>
          <w:szCs w:val="28"/>
        </w:rPr>
        <w:t xml:space="preserve">10. Notice to future employers and other third parties</w:t>
      </w:r>
    </w:p>
    <w:p>
      <w:pPr>
        <w:keepNext/>
        <w:spacing w:before="200" w:after="80"/>
      </w:pPr>
      <w:r>
        <w:rPr>
          <w:rFonts w:ascii="Segoe UI Symbol" w:hAnsi="Segoe UI Symbol"/>
        </w:rPr>
        <w:t xml:space="preserve">☐  </w:t>
      </w:r>
      <w:r>
        <w:rPr>
          <w:b/>
        </w:rPr>
        <w:t xml:space="preserve">10.1  </w:t>
      </w:r>
      <w:r>
        <w:rPr>
          <w:b/>
        </w:rPr>
        <w:t xml:space="preserve">Notice to future employers</w:t>
      </w:r>
      <w:r>
        <w:t xml:space="preserve"> — Optional (MAY)</w:t>
      </w:r>
    </w:p>
    <w:p>
      <w:pPr>
        <w:spacing w:before="0" w:after="120"/>
        <w:ind w:left="540"/>
      </w:pPr>
      <w:r>
        <w:t xml:space="preserve">A genuine drafting choice, with a sharp edge in a ban state: a letter warning a new employer off the worker based on a covenant Oklahoma voids asserts rights the employer does not have, and invites a tortious-interference response. If the clause appears, tie any notice to the covenants that actually survive — confidentiality, anti-raiding, and a properly drawn customer non-solicit.</w:t>
      </w:r>
    </w:p>
    <w:p>
      <w:pPr>
        <w:keepNext/>
        <w:spacing w:before="360" w:after="160"/>
      </w:pPr>
      <w:r>
        <w:rPr>
          <w:b/>
          <w:sz w:val="28"/>
          <w:szCs w:val="28"/>
        </w:rPr>
        <w:t xml:space="preserve">11. Tolling during breach</w:t>
      </w:r>
    </w:p>
    <w:p>
      <w:pPr>
        <w:keepNext/>
        <w:spacing w:before="200" w:after="80"/>
      </w:pPr>
      <w:r>
        <w:rPr>
          <w:rFonts w:ascii="Segoe UI Symbol" w:hAnsi="Segoe UI Symbol"/>
        </w:rPr>
        <w:t xml:space="preserve">☐  </w:t>
      </w:r>
      <w:r>
        <w:rPr>
          <w:b/>
        </w:rPr>
        <w:t xml:space="preserve">11.1  </w:t>
      </w:r>
      <w:r>
        <w:rPr>
          <w:b/>
        </w:rPr>
        <w:t xml:space="preserve">Restriction extended during a breach</w:t>
      </w:r>
      <w:r>
        <w:t xml:space="preserve"> — Recommended (SHOULD)</w:t>
      </w:r>
    </w:p>
    <w:p>
      <w:pPr>
        <w:spacing w:before="0" w:after="120"/>
        <w:ind w:left="540"/>
      </w:pPr>
      <w:r>
        <w:t xml:space="preserve">The agreement should say whether the clock on the surviving non-solicits pauses during a breach — but treat any extension mechanism as untested here. No Oklahoma authority addresses tolling, and the duration of these covenants already answers to the common-law rule of reason, so a clause that can stretch a two-year restriction indefinitely hands a reviewing court an easy overbreadth argument. </w:t>
      </w:r>
    </w:p>
    <w:p>
      <w:pPr>
        <w:keepNext/>
        <w:spacing w:before="360" w:after="160"/>
      </w:pPr>
      <w:r>
        <w:rPr>
          <w:b/>
          <w:sz w:val="28"/>
          <w:szCs w:val="28"/>
        </w:rPr>
        <w:t xml:space="preserve">12. Remedies</w:t>
      </w:r>
    </w:p>
    <w:p>
      <w:pPr>
        <w:keepNext/>
        <w:spacing w:before="200" w:after="80"/>
      </w:pPr>
      <w:r>
        <w:rPr>
          <w:rFonts w:ascii="Segoe UI Symbol" w:hAnsi="Segoe UI Symbol"/>
        </w:rPr>
        <w:t xml:space="preserve">☐  </w:t>
      </w:r>
      <w:r>
        <w:rPr>
          <w:b/>
        </w:rPr>
        <w:t xml:space="preserve">12.1  </w:t>
      </w:r>
      <w:r>
        <w:rPr>
          <w:b/>
        </w:rPr>
        <w:t xml:space="preserve">Injunction availability</w:t>
      </w:r>
      <w:r>
        <w:t xml:space="preserve"> — Recommended (SHOULD)</w:t>
      </w:r>
    </w:p>
    <w:p>
      <w:pPr>
        <w:spacing w:before="0" w:after="120"/>
        <w:ind w:left="540"/>
      </w:pPr>
      <w:r>
        <w:t xml:space="preserve">Look for the irreparable-harm acknowledgement, then place it correctly: in Oklahoma the dependable injunction runs through trade-secret law, which authorizes courts to enjoin actual or threatened misappropriation. No recital makes a void covenant enjoinable, so the remedies clause should lean on the obligations that survive. </w:t>
      </w:r>
    </w:p>
    <w:p>
      <w:pPr>
        <w:keepNext/>
        <w:spacing w:before="200" w:after="80"/>
      </w:pPr>
      <w:r>
        <w:rPr>
          <w:rFonts w:ascii="Segoe UI Symbol" w:hAnsi="Segoe UI Symbol"/>
        </w:rPr>
        <w:t xml:space="preserve">☐  </w:t>
      </w:r>
      <w:r>
        <w:rPr>
          <w:b/>
        </w:rPr>
        <w:t xml:space="preserve">12.2  </w:t>
      </w:r>
      <w:r>
        <w:rPr>
          <w:b/>
        </w:rPr>
        <w:t xml:space="preserve">Attorney fees and costs</w:t>
      </w:r>
      <w:r>
        <w:t xml:space="preserve"> — Optional (MAY)</w:t>
      </w:r>
    </w:p>
    <w:p>
      <w:pPr>
        <w:spacing w:before="0" w:after="120"/>
        <w:ind w:left="540"/>
      </w:pPr>
      <w:r>
        <w:t xml:space="preserve">A commercial choice; the American Rule applies if the agreement is silent. Prefer mutual, prevailing-party language — a one-way employer fee clause attached to covenants that are mostly void in this state reads as in-terrorem drafting rather than genuine risk allocation.</w:t>
      </w:r>
    </w:p>
    <w:p>
      <w:pPr>
        <w:keepNext/>
        <w:spacing w:before="360" w:after="160"/>
      </w:pPr>
      <w:r>
        <w:rPr>
          <w:b/>
          <w:sz w:val="28"/>
          <w:szCs w:val="28"/>
        </w:rPr>
        <w:t xml:space="preserve">13. Severability and reformation</w:t>
      </w:r>
    </w:p>
    <w:p>
      <w:pPr>
        <w:keepNext/>
        <w:spacing w:before="200" w:after="80"/>
      </w:pPr>
      <w:r>
        <w:rPr>
          <w:rFonts w:ascii="Segoe UI Symbol" w:hAnsi="Segoe UI Symbol"/>
        </w:rPr>
        <w:t xml:space="preserve">☐  </w:t>
      </w:r>
      <w:r>
        <w:rPr>
          <w:b/>
        </w:rPr>
        <w:t xml:space="preserve">13.1  </w:t>
      </w:r>
      <w:r>
        <w:rPr>
          <w:b/>
        </w:rPr>
        <w:t xml:space="preserve">No reliance on court trimming</w:t>
      </w:r>
      <w:r>
        <w:t xml:space="preserve"> — Avoid (SHOULD NOT)</w:t>
      </w:r>
    </w:p>
    <w:p>
      <w:pPr>
        <w:spacing w:before="0" w:after="120"/>
        <w:ind w:left="540"/>
      </w:pPr>
      <w:r>
        <w:t xml:space="preserve">Treat savings language as a tell, not a fix. When an Oklahoma employment covenant overreaches, the courts have refused to repair it even by deleting a single offending word — the provision falls whole. The only trimming the law provides is statutory and narrow: an overbroad sale-of-goodwill territory shrinks to the primary county and its neighbors. Severability still earns its place by detaching void covenants from the confidentiality and anti-raiding clauses that survive; what it cannot do is invite a court to rewrite. </w:t>
      </w:r>
    </w:p>
    <w:p>
      <w:pPr>
        <w:keepNext/>
        <w:spacing w:before="360" w:after="160"/>
      </w:pPr>
      <w:r>
        <w:rPr>
          <w:b/>
          <w:sz w:val="28"/>
          <w:szCs w:val="28"/>
        </w:rPr>
        <w:t xml:space="preserve">14. Survival</w:t>
      </w:r>
    </w:p>
    <w:p>
      <w:pPr>
        <w:keepNext/>
        <w:spacing w:before="200" w:after="80"/>
      </w:pPr>
      <w:r>
        <w:rPr>
          <w:rFonts w:ascii="Segoe UI Symbol" w:hAnsi="Segoe UI Symbol"/>
        </w:rPr>
        <w:t xml:space="preserve">☐  </w:t>
      </w:r>
      <w:r>
        <w:rPr>
          <w:b/>
        </w:rPr>
        <w:t xml:space="preserve">14.1  </w:t>
      </w:r>
      <w:r>
        <w:rPr>
          <w:b/>
        </w:rPr>
        <w:t xml:space="preserve">Survival after the agreement ends</w:t>
      </w:r>
      <w:r>
        <w:t xml:space="preserve"> — Recommended (SHOULD)</w:t>
      </w:r>
    </w:p>
    <w:p>
      <w:pPr>
        <w:spacing w:before="0" w:after="120"/>
        <w:ind w:left="540"/>
      </w:pPr>
      <w:r>
        <w:t xml:space="preserve">Per-covenant survival keeps each obligation's lifespan independently checkable: perpetual for trade secrets, finite for ordinary confidential information and the non-solicits. In a state where some covenants in the document may be void from the start, a bundled survival clause also obscures which obligations are actually left running.</w:t>
      </w:r>
    </w:p>
    <w:p>
      <w:pPr>
        <w:keepNext/>
        <w:spacing w:before="360" w:after="160"/>
      </w:pPr>
      <w:r>
        <w:rPr>
          <w:b/>
          <w:sz w:val="28"/>
          <w:szCs w:val="28"/>
        </w:rPr>
        <w:t xml:space="preserve">15. Assignment and successors</w:t>
      </w:r>
    </w:p>
    <w:p>
      <w:pPr>
        <w:keepNext/>
        <w:spacing w:before="200" w:after="80"/>
      </w:pPr>
      <w:r>
        <w:rPr>
          <w:rFonts w:ascii="Segoe UI Symbol" w:hAnsi="Segoe UI Symbol"/>
        </w:rPr>
        <w:t xml:space="preserve">☐  </w:t>
      </w:r>
      <w:r>
        <w:rPr>
          <w:b/>
        </w:rPr>
        <w:t xml:space="preserve">15.1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Keep expectations calibrated: assignment transfers whatever the covenant lawfully is, and in Oklahoma that means a successor inherits the same narrow suite — a void non-compete does not become enforceable because the business changed hands after signing.</w:t>
      </w:r>
    </w:p>
    <w:p>
      <w:pPr>
        <w:keepNext/>
        <w:spacing w:before="360" w:after="160"/>
      </w:pPr>
      <w:r>
        <w:rPr>
          <w:b/>
          <w:sz w:val="28"/>
          <w:szCs w:val="28"/>
        </w:rPr>
        <w:t xml:space="preserve">16. Governing law, venue, dispute process</w:t>
      </w:r>
    </w:p>
    <w:p>
      <w:pPr>
        <w:keepNext/>
        <w:spacing w:before="200" w:after="80"/>
      </w:pPr>
      <w:r>
        <w:rPr>
          <w:rFonts w:ascii="Segoe UI Symbol" w:hAnsi="Segoe UI Symbol"/>
        </w:rPr>
        <w:t xml:space="preserve">☐  </w:t>
      </w:r>
      <w:r>
        <w:rPr>
          <w:b/>
        </w:rPr>
        <w:t xml:space="preserve">16.1  </w:t>
      </w:r>
      <w:r>
        <w:rPr>
          <w:b/>
        </w:rPr>
        <w:t xml:space="preserve">Forum selection, not governing law, is the escape hatch</w:t>
      </w:r>
      <w:r>
        <w:t xml:space="preserve"> — Avoid (SHOULD NOT)</w:t>
      </w:r>
    </w:p>
    <w:p>
      <w:pPr>
        <w:spacing w:before="0" w:after="120"/>
        <w:ind w:left="540"/>
      </w:pPr>
      <w:r>
        <w:t xml:space="preserve">Spend the review on the venue sentence. A foreign choice-of-law clause rarely moves the outcome — Oklahoma courts decline to apply chosen law that violates the state's public policy against work restraints — but a mandatory out-of-state forum clause can take the whole dispute to a court with no such policy. A federal court here recently enforced one and transferred an Oklahoma employee's case while acknowledging it would likely have found the covenants void had the case stayed. The clause should still name governing law, venue, and process; the question to answer is whose court reads it. </w:t>
      </w:r>
    </w:p>
    <w:p>
      <w:pPr>
        <w:keepNext/>
        <w:spacing w:before="360" w:after="160"/>
      </w:pPr>
      <w:r>
        <w:rPr>
          <w:b/>
          <w:sz w:val="28"/>
          <w:szCs w:val="28"/>
        </w:rPr>
        <w:t xml:space="preserve">17. Entire agreement, amendment, waiver, e-signatures</w:t>
      </w:r>
    </w:p>
    <w:p>
      <w:pPr>
        <w:keepNext/>
        <w:spacing w:before="200" w:after="80"/>
      </w:pPr>
      <w:r>
        <w:rPr>
          <w:rFonts w:ascii="Segoe UI Symbol" w:hAnsi="Segoe UI Symbol"/>
        </w:rPr>
        <w:t xml:space="preserve">☐  </w:t>
      </w:r>
      <w:r>
        <w:rPr>
          <w:b/>
        </w:rPr>
        <w:t xml:space="preserve">17.1  </w:t>
      </w:r>
      <w:r>
        <w:rPr>
          <w:b/>
        </w:rPr>
        <w:t xml:space="preserve">Entire agreement, amendments, e-signatures</w:t>
      </w:r>
      <w:r>
        <w:t xml:space="preserve"> — Recommended (SHOULD)</w:t>
      </w:r>
    </w:p>
    <w:p>
      <w:pPr>
        <w:spacing w:before="0" w:after="120"/>
        <w:ind w:left="540"/>
      </w:pPr>
      <w:r>
        <w:t xml:space="preserve">Standard machinery, with one Oklahoma-flavored reason to care: the customer statute reaches agreements made in writing or verbally, so an integration clause that collapses side conversations into the signed document keeps the covenant universe — and the void-or-valid analysis — confined to text a reviewer can actually read. </w:t>
      </w:r>
    </w:p>
    <w:p>
      <w:pPr>
        <w:keepNext/>
        <w:spacing w:before="360" w:after="160"/>
      </w:pPr>
      <w:r>
        <w:rPr>
          <w:b/>
          <w:sz w:val="28"/>
          <w:szCs w:val="28"/>
        </w:rPr>
        <w:t xml:space="preserve">18. Oklahoma statutory gates (15 O.S. §§ 217–219B)</w:t>
      </w:r>
    </w:p>
    <w:p>
      <w:pPr>
        <w:spacing w:before="0" w:after="120"/>
      </w:pPr>
      <w:r>
        <w:t xml:space="preserve">The five items below exist only on this Oklahoma page: they implement the county-level geography and ownership checks behind the sale-of-business carve-outs, the solicitation boundary on anti-raiding clauses, the open consideration question, and the rule-of-reason ceiling on the covenants that survive the ban.</w:t>
      </w:r>
    </w:p>
    <w:p>
      <w:pPr>
        <w:keepNext/>
        <w:spacing w:before="200" w:after="80"/>
      </w:pPr>
      <w:r>
        <w:rPr>
          <w:rFonts w:ascii="Segoe UI Symbol" w:hAnsi="Segoe UI Symbol"/>
        </w:rPr>
        <w:t xml:space="preserve">☐  </w:t>
      </w:r>
      <w:r>
        <w:rPr>
          <w:b/>
        </w:rPr>
        <w:t xml:space="preserve">18.1  </w:t>
      </w:r>
      <w:r>
        <w:rPr>
          <w:b/>
        </w:rPr>
        <w:t xml:space="preserve">County-level geography for sale covenants</w:t>
      </w:r>
      <w:r>
        <w:t xml:space="preserve"> — Required (MUST)</w:t>
      </w:r>
    </w:p>
    <w:p>
      <w:pPr>
        <w:spacing w:before="0" w:after="120"/>
        <w:ind w:left="540"/>
      </w:pPr>
      <w:r>
        <w:t xml:space="preserve">A sale-of-goodwill or partnership-dissolution covenant must stay inside the statutory map: a specified county plus contiguous counties, or a specified city or town. Multi-state and regional radii common in acquisition forms blow through that ceiling — and the statute's own fix shrinks the territory to the primary county and its neighbors, never to the broader scope the parties wrote. Check the geography clause against a county map, not against the deal's footprint. </w:t>
      </w:r>
    </w:p>
    <w:p>
      <w:pPr>
        <w:keepNext/>
        <w:spacing w:before="200" w:after="80"/>
      </w:pPr>
      <w:r>
        <w:rPr>
          <w:rFonts w:ascii="Segoe UI Symbol" w:hAnsi="Segoe UI Symbol"/>
        </w:rPr>
        <w:t xml:space="preserve">☐  </w:t>
      </w:r>
      <w:r>
        <w:rPr>
          <w:b/>
        </w:rPr>
        <w:t xml:space="preserve">18.2  </w:t>
      </w:r>
      <w:r>
        <w:rPr>
          <w:b/>
        </w:rPr>
        <w:t xml:space="preserve">Real ownership behind a goodwill covenant</w:t>
      </w:r>
      <w:r>
        <w:t xml:space="preserve"> — Recommended (SHOULD)</w:t>
      </w:r>
    </w:p>
    <w:p>
      <w:pPr>
        <w:spacing w:before="0" w:after="120"/>
        <w:ind w:left="540"/>
      </w:pPr>
      <w:r>
        <w:t xml:space="preserve">Verify that the person bound by a sale-of-business covenant actually sold an appreciable stake. The state supreme court has treated the sale of a meaningful ownership interest — roughly a twenty-percent block in the leading discussion — as what carries goodwill; a token equity grant stapled to an employment deal does not convert an employee non-compete into a protected sale covenant. </w:t>
      </w:r>
    </w:p>
    <w:p>
      <w:pPr>
        <w:keepNext/>
        <w:spacing w:before="200" w:after="80"/>
      </w:pPr>
      <w:r>
        <w:rPr>
          <w:rFonts w:ascii="Segoe UI Symbol" w:hAnsi="Segoe UI Symbol"/>
        </w:rPr>
        <w:t xml:space="preserve">☐  </w:t>
      </w:r>
      <w:r>
        <w:rPr>
          <w:b/>
        </w:rPr>
        <w:t xml:space="preserve">18.3  </w:t>
      </w:r>
      <w:r>
        <w:rPr>
          <w:b/>
        </w:rPr>
        <w:t xml:space="preserve">Anti-raiding stops at solicitation, not hiring</w:t>
      </w:r>
      <w:r>
        <w:t xml:space="preserve"> — Avoid (SHOULD NOT)</w:t>
      </w:r>
    </w:p>
    <w:p>
      <w:pPr>
        <w:spacing w:before="0" w:after="120"/>
        <w:ind w:left="540"/>
      </w:pPr>
      <w:r>
        <w:t xml:space="preserve">The workforce statute protects against </w:t>
      </w:r>
      <w:r>
        <w:rPr>
          <w:i/>
        </w:rPr>
        <w:t xml:space="preserve">soliciting</w:t>
      </w:r>
      <w:r>
        <w:t xml:space="preserve"> — direct or indirect, active or inactive — and that is where the safe ground ends. A clause that bars hiring a colleague who applies entirely on their own initiative restricts conduct the statute never mentions, leaving it exposed to the general void rule. Flag every no-hire formulation and ask whether the employer can live with a solicitation-only version. </w:t>
      </w:r>
    </w:p>
    <w:p>
      <w:pPr>
        <w:keepNext/>
        <w:spacing w:before="200" w:after="80"/>
      </w:pPr>
      <w:r>
        <w:rPr>
          <w:rFonts w:ascii="Segoe UI Symbol" w:hAnsi="Segoe UI Symbol"/>
        </w:rPr>
        <w:t xml:space="preserve">☐  </w:t>
      </w:r>
      <w:r>
        <w:rPr>
          <w:b/>
        </w:rPr>
        <w:t xml:space="preserve">18.4  </w:t>
      </w:r>
      <w:r>
        <w:rPr>
          <w:b/>
        </w:rPr>
        <w:t xml:space="preserve">Fresh consideration for mid-employment covenants</w:t>
      </w:r>
      <w:r>
        <w:t xml:space="preserve"> — Recommended (SHOULD)</w:t>
      </w:r>
    </w:p>
    <w:p>
      <w:pPr>
        <w:spacing w:before="0" w:after="120"/>
        <w:ind w:left="540"/>
      </w:pPr>
      <w:r>
        <w:t xml:space="preserve">When the covenant was signed after the start date, look for something new and identifiable moving to the employee — a bonus, raise, promotion, or new confidential-information access. Oklahoma has not decided whether continued employment alone is enough, so the careful agreement does not test the question. Remember the limit of this check: consideration is necessary support, never a cure for a clause whose substance the statute voids. </w:t>
      </w:r>
    </w:p>
    <w:p>
      <w:pPr>
        <w:keepNext/>
        <w:spacing w:before="200" w:after="80"/>
      </w:pPr>
      <w:r>
        <w:rPr>
          <w:rFonts w:ascii="Segoe UI Symbol" w:hAnsi="Segoe UI Symbol"/>
        </w:rPr>
        <w:t xml:space="preserve">☐  </w:t>
      </w:r>
      <w:r>
        <w:rPr>
          <w:b/>
        </w:rPr>
        <w:t xml:space="preserve">18.5  </w:t>
      </w:r>
      <w:r>
        <w:rPr>
          <w:b/>
        </w:rPr>
        <w:t xml:space="preserve">Reasonable duration on surviving covenants</w:t>
      </w:r>
      <w:r>
        <w:t xml:space="preserve"> — Recommended (SHOULD)</w:t>
      </w:r>
    </w:p>
    <w:p>
      <w:pPr>
        <w:spacing w:before="0" w:after="120"/>
        <w:ind w:left="540"/>
      </w:pPr>
      <w:r>
        <w:t xml:space="preserve">Fitting the statutory shape is the entry ticket, not the finish line: the covenants Oklahoma permits still answer to the common-law rule of reason on duration and scope. No statute fixes a maximum term — practitioners commonly hold customer non-solicits to two years or less as a risk-control measure — so test each surviving covenant's length against the customer relationships or workforce interest it actually protects. </w:t>
      </w:r>
    </w:p>
    <w:p>
      <w:pPr>
        <w:spacing w:before="360" w:after="0"/>
      </w:pPr>
      <w:r>
        <w:rPr>
          <w:color w:val="666666"/>
          <w:sz w:val="16"/>
          <w:szCs w:val="16"/>
        </w:rPr>
        <w:t xml:space="preserve">Steven Obiajulu, J.D. edits this review checklist for Oklahoma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