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Oregon</w:t>
      </w:r>
    </w:p>
    <w:p>
      <w:pPr>
        <w:spacing w:before="0" w:after="120"/>
      </w:pPr>
      <w:r>
        <w:rPr>
          <w:i/>
          <w:color w:val="444444"/>
        </w:rPr>
        <w:t xml:space="preserve">A clause-by-clause reviewer checklist for Oregon employee restrictive covenant agreements — confidentiality, non-solicits, non-competes, and non-disparagement under ORS 653.295's notice rule, salary threshold, 12-month cap, garden-leave path, and the 2025 medical-licensee ban.</w:t>
      </w:r>
    </w:p>
    <w:p>
      <w:pPr>
        <w:spacing w:before="0" w:after="240"/>
      </w:pPr>
      <w:r>
        <w:rPr>
          <w:color w:val="666666"/>
          <w:sz w:val="18"/>
          <w:szCs w:val="18"/>
        </w:rPr>
        <w:t xml:space="preserve">By Steven Obiajulu, J.D. Last reviewed 2026-06-11. License: CC BY 4.0. https://openagreements.org/checklists/non-compete/us/oregon</w:t>
      </w:r>
    </w:p>
    <w:p>
      <w:pPr>
        <w:keepNext/>
        <w:spacing w:before="360" w:after="160"/>
      </w:pPr>
      <w:r>
        <w:rPr>
          <w:b/>
          <w:sz w:val="28"/>
          <w:szCs w:val="28"/>
        </w:rPr>
        <w:t xml:space="preserve">1. Parties and cover-term identification</w:t>
      </w:r>
    </w:p>
    <w:p>
      <w:pPr>
        <w:spacing w:before="0" w:after="120"/>
      </w:pPr>
      <w:r>
        <w:t xml:space="preserve">Review every item below the way an Oregon court would: ORS 653.295 starts from a void-unless default, and a single missed formality — a late offer letter, a salary below the published threshold, a signed copy never mailed after termination — defeats the whole non-compete. For the question-by-question legal analysis behind these items, see the </w:t>
      </w:r>
      <w:r>
        <w:t xml:space="preserve">Oregon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that actually employs and pays the worker. Oregon's checklist runs on employer-side facts — who sent the offer letter, who pays the garden-leave money, who must deliver the signed copy after termination — and a covenant papered with a parent or affiliate muddies every one of those obligations before the review even starts.</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Dates carry unusual weight here. The signing date determines whether the covenant rode in with a conforming offer letter or needed a bona fide advancement, the 12-month clock runs from termination, and agreements signed before 2022 live under an older and more forgiving version of the statute. An undated covenant makes all three questions guesswork.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role, because in Oregon it does double duty: the statute binds only exempt salaried workers, so the title is the first clue to exempt status, and the duties behind it are the evidence of what trade secrets or sensitive plans the worker can actually reach. A title that reads non-exempt or clerical should send you straight to the statutory gates at the end of this checklist.</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a governing state is stated — and treat a foreign selection for an Oregon-resident employee working primarily in Oregon as a red flag rather than an escape hatch. Oregon's choice-of-law statute points the employment contract back to Oregon law regardless of what the clause says. </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Test the definition against the statute's second protectable-interest category: competitively sensitive confidential business or professional information, illustrated by product development plans, launch plans, marketing strategy, and sales plans. A definition built around those concrete categories supports the covenant; a definition that sweeps in everything the worker ever learned supports nothing and invites a Workplace Fairness Act problem if it reaches workplace-conduct complaints.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The definition should track Oregon's Uniform Trade Secrets Act: information with independent economic value from secrecy, subject to reasonable secrecy efforts. Access to trade secrets so defined is the first statutory protectable interest, and the statute expressly preserves trade-secret remedies even where the non-compete fails — so a clean definition keeps working after the covenant dies.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defined Restricted Period keeps the durations auditable against the hardest number in Oregon law: 12 months from the date of termination for the non-compete, with the excess void. Verify the defined period runs from termination — not from breach, judgment, or the end of litigation — because that reference point is what the statute fixes.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Tie the geography to where the protected information could actually be exploited. Oregon's statute does not prescribe a territory limit, but the protectable-interest requirement does the same work: a footprint that outruns the trade secrets and strategic plans the worker touched reads as a restraint on employment rather than a shield for information, and there is no judicial rewrite waiting to save it.</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with an active or ongoing relationship — that is the construction Oregon's Court of Appeals gave the statutory non-solicit carve-out, which excludes former and merely incidental patrons. A customer definition that reaches anyone who ever did business with the employer pushes the clause outside the protection that keeps non-solicits free of the statutory checklist.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worker actually worked with during a stated look-back window. Oregon's statute carves employee non-solicits out of the non-compete checklist without regulating them further, so the clause is judged on ordinary reasonableness — and a workforce-wide hiring ban is the version most likely to be recharacterized as a restraint the checklist should have governed. </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in the statute's own terms: access to trade secrets, or access to competitively sensitive confidential business or professional information that would not qualify as a trade secret. Goodwill recitals add color but no enforceability in Oregon — the protectable-interest condition runs through information access, and the definition should make that showing easy to assemble.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genuinely competing activity concretely. The leading Oregon-law enforcement case turned on a departing executive whose strategic knowledge mapped directly onto a named rival's product and pricing decisions — that is the level of specificity a reviewer should look for, not a definition that captures every company in the industry.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percentage. A clause that technically forbids index funds and ordinary public shares restrains the worker far beyond any information-based interest the Oregon statute recognizes, and gratuitous overbreadth is expensive in a state whose default answer to a defective covenant is void.</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 drafting convenience rather than a requirement — many agreements simply inline the carve-out. If the capitalized term appears, confirm its percentage matches the operative carve-out it feeds.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the term down, and notice how much Oregon's carve-out already covers: the statute exempts covenants not to solicit employees, and not to solicit or transact business with customers, from the non-compete checklist. A solicitation definition that quietly expands into a ban on competing at all forfeits that exemption — the further the definition drifts from solicitation, the closer the clause drifts to the checklist.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treats resignation, dismissal, and expiration of a fixed term the same way. In Oregon this event starts two unforgiving clocks at once — the 12-month maximum restraint and the 30-day window for delivering the signed copy — and it fixes the year against which the salary threshold is measured. An ambiguous trigger destabilizes all three.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In Oregon the timing recital is evidence for a validity condition, not just procedural hygiene. The acknowledgement should record either that the written offer disclosing the non-compete arrived at least two weeks before the first day of work, or that the covenant was signed on a genuine promotion — the two gateways the Ninth Circuit walked through before enforcing an Oregon covenant signed mid-employment. Continued employment alone is recited nowhere because it qualifies nowhere.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Oregon statute demands it, but the two-week offer window exists precisely so a candidate can evaluate the covenant before committing. A counsel acknowledgement documents that the window was usable in fact — cheap insurance for an employer that will someday carry the burden of proving every formality was honored.</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The trade-secret obligation should run as long as secrecy does — that is how federal law defines the right, and Oregon's non-compete statute expressly leaves trade-secret remedies untouched no matter what happens to the covenant. A fixed expiry on trade-secret protection gives away the one protection that survives even a void non-compete.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Oregon's protectable-interest framework already distinguishes trade secrets from competitively sensitive information that does not qualify as one — the two-track duration structure mirrors that statutory line and keeps the perpetual obligation where the law actually supports it.</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Oregon: omit the immunity notice and the employer forfeits exemplary damages and attorney fees in a later trade-secret suit against the worker. Because trade-secret remedies are the tool Oregon law most reliably leaves in the employer's hands, weakening them through a missing boilerplate notice is an unforced error.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in every state, and the Board has been striking overbroad clauses in employee agreements — a federal floor that operates alongside Oregon's own Workplace Fairness Act limits.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Oregon adds its own statutory floor: an agreement cannot be used to prevent an employee from disclosing or discussing workplace discrimination or harassment, so the contractual carve-out should be at least as wide as the Workplace Fairness Act demands. </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Oregon's separation window is already busy — the employer owes the worker a signed copy of the covenant within 30 days — so fold the certification into the same offboarding sequence and the two obligations police each other.</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in Oregon statutorily privileged: covenants not to solicit the employer's employees sit entirely outside the non-compete checklist, so no offer-letter notice, salary threshold, or 12-month cap applies. The privilege rewards staying recognizably a non-solicit — keep it inside the Covered Employees class and a sensible period rather than letting it grow into a hiring ban.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Also outside the checklist — and sometimes the survivor when the non-compete fails: Oregon's Court of Appeals treated a covenant that flunked the non-compete requirements as at least partly enforceable through the customer-restriction carve-out. The same case narrowed the carve-out to active, ongoing customer relationships, so the clause earns its protected status only when drafted that tightly.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Oregon's carve-out is unusually generous here: it exempts covenants not to solicit or transact business with customers of the employer, so even the broader no-dealing form escapes the statutory checklist when confined to the employer's customers. The boundary still matters — stretch the customer class past active, ongoing relationships and the clause starts looking like the non-compete the checklist was written for.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An Oregon employee non-compete is void and unenforceable unless the employer clears every statutory condition — notice or advancement, exempt status, protectable interest, post-termination delivery, and the salary threshold, with garden leave as the fallback. If this clause appears at all, route the review straight through the Oregon statutory gates at the end of this checklist before evaluating any of its terms.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the covenant should bind those instead of leaning on an open-ended Competitive Business definition. Oregon's protectable-interest analysis is concrete — the leading case matched the executive's confidential knowledge to a single named rival — and a covenant that mirrors that specificity is far easier to defend than one drawn around an entire industry.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 and remember that an investment restraint enjoys none of the carve-out protection Oregon gives non-solicits, so the closer it operates to a restraint on working, the more it should be tested against the statutory gates.</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in Oregon the carve-outs are statutory, not stylistic: the Workplace Fairness Act makes it unlawful to condition employment or benefits on a nondisparagement provision that keeps the worker from disclosing or discussing discrimination or harassment, and federal labor law polices overbroad versions on top of that. Audit the carve-outs before the covenant language.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The dedicated clause should state Oregon's 2025 rule plainly: a non-compete restricting the practice of medicine or nursing is void between a medical licensee and a practice entity, management services organization, or hospital, with narrow exceptions — and the ban reaches agreements signed before the law took effect, so legacy physician covenants offer no shelter. If the worker holds a medical or nursing license, the medical-licensee gate at the end of this checklist controls.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On intake in Oregon, pair it with the inverse question: a covenant the candidate signed elsewhere may be governed by Oregon law anyway once the candidate is an Oregon resident working primarily here, and the representation is the natural place for that conversation to surface.</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In Oregon, weigh it against the void-by-default regime: warning a new employer off a worker on the strength of a covenant that missed a formality means asserting an agreement the statute treats as void from the start, with reciprocal fee exposure waiting if the dispute ripens into litigation. If the clause appears, condition any outbound notice on a covenant that actually clears the statutory gates.</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Avoid (SHOULD NOT)</w:t>
      </w:r>
    </w:p>
    <w:p>
      <w:pPr>
        <w:spacing w:before="0" w:after="120"/>
        <w:ind w:left="540"/>
      </w:pPr>
      <w:r>
        <w:t xml:space="preserve">Flag any clause that pauses the restricted period during a breach and tacks the lost time onto the end. No Oregon statute or decision squarely approves or rejects tolling, but the statute measures the 12-month maximum from the date of termination and voids the excess — so an extension mechanism collides with the cap at exactly the moment it matters. The conservative clause states the parties' intent on breach but keeps the total restraint inside 12 months from termination; treat anything bolder as unsettled-law risk the employer is choosing on purpose.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injunctive relief is appropriate — and note where Oregon law makes the remedy safest: the statute itself preserves injunctions to protect trade secrets and proprietary information whatever happens to the covenant, so an injunction theory anchored in the trade-secret interest outlives a non-compete that fails a formality.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Recommended (SHOULD)</w:t>
      </w:r>
    </w:p>
    <w:p>
      <w:pPr>
        <w:spacing w:before="0" w:after="120"/>
        <w:ind w:left="540"/>
      </w:pPr>
      <w:r>
        <w:t xml:space="preserve">Read any fee clause as mutual no matter how it is written, because Oregon law does: a contractual fee provision entitles whichever party prevails to reasonable fees, regardless of which party the contract named. A one-way employer clause therefore hands a departing employee a fee theory against a void covenant while giving the employer nothing it would not already have — so either draft the clause as mutual prevailing-party or leave fee-shifting out and live with the American Rule.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No reliance on court rescue</w:t>
      </w:r>
      <w:r>
        <w:t xml:space="preserve"> — Avoid (SHOULD NOT)</w:t>
      </w:r>
    </w:p>
    <w:p>
      <w:pPr>
        <w:spacing w:before="0" w:after="120"/>
        <w:ind w:left="540"/>
      </w:pPr>
      <w:r>
        <w:t xml:space="preserve">Read the severability clause as a risk signal, not a safety net. Since the 2022 regime took effect, a non-conforming Oregon non-compete is void from the start — the older rule, under which a defective covenant merely remained voidable until the employee acted, is gone — and the statute's only built-in repair severs the portion of a term beyond 12 months. Nothing in that targeted severance invites a court to rebuild a covenant that missed the notice, status, interest, delivery, or salary conditions, so the covenant has to be drafted to the checklist on day one.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perpetual for trade secrets, finite for ordinary confidential information, capped at 12 months from termination for the non-compete, common-law reasonable for the carved-out non-solicits. In Oregon a bundled survival clause is where an over-cap non-compete term hides — and the statute voids the excess wherever it appears.</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Two Oregon wrinkles for the successor: the statutory checklist governs only covenants made in the context of an employment relationship, so a covenant acquired in a business sale is judged under common-law reasonableness instead — and whoever ends up enforcing an employment covenant inherits the original employer's compliance record, including any missed notice or delivery. </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Oregon law for Oregon-based employees</w:t>
      </w:r>
      <w:r>
        <w:t xml:space="preserve"> — Prohibited (MUST NOT)</w:t>
      </w:r>
    </w:p>
    <w:p>
      <w:pPr>
        <w:spacing w:before="0" w:after="120"/>
        <w:ind w:left="540"/>
      </w:pPr>
      <w:r>
        <w:t xml:space="preserve">For an Oregon resident performing services primarily in Oregon, the agreement must not lean on another state's law to sidestep the non-compete statute — Oregon's choice-of-law rule applies Oregon law to that employment contract notwithstanding the clause. The provision should still name governing law, venue, and process; the point is that for an Oregon-based employee, Oregon law is the only selection that operates as written, and a foreign selection mostly signals an unlocalized form.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Boilerplate with an Oregon trap inside: a mid-employment amendment that introduces or broadens a non-compete is a new covenant, and a new covenant needs its own gateway — a bona fide advancement, not a routine refresh signed for continued employment. Review the amendment mechanics so an annual re-papering exercise does not quietly create covenants the statute voids on arrival. </w:t>
      </w:r>
    </w:p>
    <w:p>
      <w:pPr>
        <w:keepNext/>
        <w:spacing w:before="360" w:after="160"/>
      </w:pPr>
      <w:r>
        <w:rPr>
          <w:b/>
          <w:sz w:val="28"/>
          <w:szCs w:val="28"/>
        </w:rPr>
        <w:t xml:space="preserve">19. Oregon statutory gates (ORS 653.295 and 653.297)</w:t>
      </w:r>
    </w:p>
    <w:p>
      <w:pPr>
        <w:spacing w:before="0" w:after="120"/>
      </w:pPr>
      <w:r>
        <w:t xml:space="preserve">The eight items below exist only on this Oregon page: they implement the statute's formation-timing gateway, its exempt-status and salary conditions, the post-termination delivery obligation, the 12-month cap, the garden-leave alternative, the 2025 medical-licensee ban, and the Workplace Fairness Act limits that have no analogue in the jurisdiction-neutral checklist.</w:t>
      </w:r>
    </w:p>
    <w:p>
      <w:pPr>
        <w:keepNext/>
        <w:spacing w:before="200" w:after="80"/>
      </w:pPr>
      <w:r>
        <w:rPr>
          <w:rFonts w:ascii="Segoe UI Symbol" w:hAnsi="Segoe UI Symbol"/>
        </w:rPr>
        <w:t xml:space="preserve">☐  </w:t>
      </w:r>
      <w:r>
        <w:rPr>
          <w:b/>
        </w:rPr>
        <w:t xml:space="preserve">19.1  </w:t>
      </w:r>
      <w:r>
        <w:rPr>
          <w:b/>
        </w:rPr>
        <w:t xml:space="preserve">Two-week offer notice or a real promotion</w:t>
      </w:r>
      <w:r>
        <w:t xml:space="preserve"> — Required (MUST)</w:t>
      </w:r>
    </w:p>
    <w:p>
      <w:pPr>
        <w:spacing w:before="0" w:after="120"/>
        <w:ind w:left="540"/>
      </w:pPr>
      <w:r>
        <w:t xml:space="preserve">Start with the formation story. The covenant survives only if the written employment offer — received at least two weeks before the first day of work — told the candidate a non-compete would be a condition of employment, or the covenant was signed on a subsequent bona fide advancement. Ask for the offer letter and its date, or for the promotion that accompanied the signature; the leading case enforced a covenant precisely because the executive signed it in connection with a genuine promotion. A covenant rolled out mid-employment for nothing more than staying employed is void. </w:t>
      </w:r>
    </w:p>
    <w:p>
      <w:pPr>
        <w:keepNext/>
        <w:spacing w:before="200" w:after="80"/>
      </w:pPr>
      <w:r>
        <w:rPr>
          <w:rFonts w:ascii="Segoe UI Symbol" w:hAnsi="Segoe UI Symbol"/>
        </w:rPr>
        <w:t xml:space="preserve">☐  </w:t>
      </w:r>
      <w:r>
        <w:rPr>
          <w:b/>
        </w:rPr>
        <w:t xml:space="preserve">19.2  </w:t>
      </w:r>
      <w:r>
        <w:rPr>
          <w:b/>
        </w:rPr>
        <w:t xml:space="preserve">Exempt status and the salary threshold</w:t>
      </w:r>
      <w:r>
        <w:t xml:space="preserve"> — Required (MUST)</w:t>
      </w:r>
    </w:p>
    <w:p>
      <w:pPr>
        <w:spacing w:before="0" w:after="120"/>
        <w:ind w:left="540"/>
      </w:pPr>
      <w:r>
        <w:t xml:space="preserve">Unless the employer is paying garden leave, the worker has to be an exempt salaried employee whose annual gross salary and commissions at termination exceed the inflation-indexed threshold — a baseline of $100,533 that the labor agency adjusts every year, putting the figure at $119,541 for 2026. Measure against the year of termination, not the year of signing: a worker who cleared the number at signing but slipped below it by separation is outside the statute, and the covenant is void. For any covenant expected to run several years, build the annual re-check into the review. </w:t>
      </w:r>
    </w:p>
    <w:p>
      <w:pPr>
        <w:keepNext/>
        <w:spacing w:before="200" w:after="80"/>
      </w:pPr>
      <w:r>
        <w:rPr>
          <w:rFonts w:ascii="Segoe UI Symbol" w:hAnsi="Segoe UI Symbol"/>
        </w:rPr>
        <w:t xml:space="preserve">☐  </w:t>
      </w:r>
      <w:r>
        <w:rPr>
          <w:b/>
        </w:rPr>
        <w:t xml:space="preserve">19.3  </w:t>
      </w:r>
      <w:r>
        <w:rPr>
          <w:b/>
        </w:rPr>
        <w:t xml:space="preserve">A statutory protectable interest</w:t>
      </w:r>
      <w:r>
        <w:t xml:space="preserve"> — Required (MUST)</w:t>
      </w:r>
    </w:p>
    <w:p>
      <w:pPr>
        <w:spacing w:before="0" w:after="120"/>
        <w:ind w:left="540"/>
      </w:pPr>
      <w:r>
        <w:t xml:space="preserve">The employer needs a protectable interest in the statute's own categories: the worker has access to trade secrets, or to competitively sensitive confidential business or professional information such as product development plans, launch plans, marketing strategy, or sales plans — plus a narrow third path for on-air broadcasting talent with its own promotional-spend conditions. Look for documentation of the specific information this worker can reach; the test is concrete, and it applies even when the employer takes the garden-leave path. </w:t>
      </w:r>
    </w:p>
    <w:p>
      <w:pPr>
        <w:keepNext/>
        <w:spacing w:before="200" w:after="80"/>
      </w:pPr>
      <w:r>
        <w:rPr>
          <w:rFonts w:ascii="Segoe UI Symbol" w:hAnsi="Segoe UI Symbol"/>
        </w:rPr>
        <w:t xml:space="preserve">☐  </w:t>
      </w:r>
      <w:r>
        <w:rPr>
          <w:b/>
        </w:rPr>
        <w:t xml:space="preserve">19.4  </w:t>
      </w:r>
      <w:r>
        <w:rPr>
          <w:b/>
        </w:rPr>
        <w:t xml:space="preserve">Signed copy delivered within 30 days of termination</w:t>
      </w:r>
      <w:r>
        <w:t xml:space="preserve"> — Required (MUST)</w:t>
      </w:r>
    </w:p>
    <w:p>
      <w:pPr>
        <w:spacing w:before="0" w:after="120"/>
        <w:ind w:left="540"/>
      </w:pPr>
      <w:r>
        <w:t xml:space="preserve">The quietest condition on the page, and the easiest to miss: within 30 days after the employee's termination, the employer has to provide a signed, written copy of the covenant's terms. The labor agency lists the delivery as a freestanding condition of validity, and it falls due after everyone has stopped thinking about the agreement — so confirm the obligation is recited in the document and wired into the offboarding workflow, with proof of delivery retained. An otherwise perfect covenant dies on this formality alone. </w:t>
      </w:r>
    </w:p>
    <w:p>
      <w:pPr>
        <w:keepNext/>
        <w:spacing w:before="200" w:after="80"/>
      </w:pPr>
      <w:r>
        <w:rPr>
          <w:rFonts w:ascii="Segoe UI Symbol" w:hAnsi="Segoe UI Symbol"/>
        </w:rPr>
        <w:t xml:space="preserve">☐  </w:t>
      </w:r>
      <w:r>
        <w:rPr>
          <w:b/>
        </w:rPr>
        <w:t xml:space="preserve">19.5  </w:t>
      </w:r>
      <w:r>
        <w:rPr>
          <w:b/>
        </w:rPr>
        <w:t xml:space="preserve">No restraint past 12 months from termination</w:t>
      </w:r>
      <w:r>
        <w:t xml:space="preserve"> — Prohibited (MUST NOT)</w:t>
      </w:r>
    </w:p>
    <w:p>
      <w:pPr>
        <w:spacing w:before="0" w:after="120"/>
        <w:ind w:left="540"/>
      </w:pPr>
      <w:r>
        <w:t xml:space="preserve">The restricted period must not run past 12 months from the date of termination. The statute polices the line itself: whatever portion of the term exceeds 12 months is void and unenforceable in Oregon's courts, while the first 12 months stand. Check every duration reference — the defined Restricted Period, the covenant clause, the survival section — and remember the clock starts at termination, so an 18- or 24-month term in an agreement signed under the current regime is not negotiating room but dead text. </w:t>
      </w:r>
    </w:p>
    <w:p>
      <w:pPr>
        <w:keepNext/>
        <w:spacing w:before="200" w:after="80"/>
      </w:pPr>
      <w:r>
        <w:rPr>
          <w:rFonts w:ascii="Segoe UI Symbol" w:hAnsi="Segoe UI Symbol"/>
        </w:rPr>
        <w:t xml:space="preserve">☐  </w:t>
      </w:r>
      <w:r>
        <w:rPr>
          <w:b/>
        </w:rPr>
        <w:t xml:space="preserve">19.6  </w:t>
      </w:r>
      <w:r>
        <w:rPr>
          <w:b/>
        </w:rPr>
        <w:t xml:space="preserve">Garden-leave pay promise in writing</w:t>
      </w:r>
      <w:r>
        <w:t xml:space="preserve"> — Required (MUST)</w:t>
      </w:r>
    </w:p>
    <w:p>
      <w:pPr>
        <w:spacing w:before="0" w:after="120"/>
        <w:ind w:left="540"/>
      </w:pPr>
      <w:r>
        <w:t xml:space="preserve">If the worker misses the exempt-status or salary conditions, the covenant can still be enforced for up to 12 months — but only if the employer commits in writing to pay, for the period of restriction, the greater of half the worker's annual gross base salary and commissions at termination or half the published threshold figure. Verify the payment promise sits in the agreement itself with both halves of the formula stated, and remember what the path does not buy: the offer-letter timing, the protectable interest, and the 30-day delivery conditions all still apply. </w:t>
      </w:r>
    </w:p>
    <w:p>
      <w:pPr>
        <w:keepNext/>
        <w:spacing w:before="200" w:after="80"/>
      </w:pPr>
      <w:r>
        <w:rPr>
          <w:rFonts w:ascii="Segoe UI Symbol" w:hAnsi="Segoe UI Symbol"/>
        </w:rPr>
        <w:t xml:space="preserve">☐  </w:t>
      </w:r>
      <w:r>
        <w:rPr>
          <w:b/>
        </w:rPr>
        <w:t xml:space="preserve">19.7  </w:t>
      </w:r>
      <w:r>
        <w:rPr>
          <w:b/>
        </w:rPr>
        <w:t xml:space="preserve">No practice restraints on medical licensees</w:t>
      </w:r>
      <w:r>
        <w:t xml:space="preserve"> — Prohibited (MUST NOT)</w:t>
      </w:r>
    </w:p>
    <w:p>
      <w:pPr>
        <w:spacing w:before="0" w:after="120"/>
        <w:ind w:left="540"/>
      </w:pPr>
      <w:r>
        <w:t xml:space="preserve">For a worker holding a medical or nursing license, the agreement must not restrict the practice of medicine or nursing in favor of a practice entity, management services organization, or hospital — the 2025 law voids such covenants and reaches agreements signed before, on, or after its June 9, 2025 effective date, so there is no grandfathering to rely on. The exceptions are deliberately narrow: a licensee holding an ownership or membership interest of at least 1.5 percent of the entity, a documented recruitment-investment covenant with its own multi-year caps, or a licensee whose role involves no direct clinical care. </w:t>
      </w:r>
    </w:p>
    <w:p>
      <w:pPr>
        <w:keepNext/>
        <w:spacing w:before="200" w:after="80"/>
      </w:pPr>
      <w:r>
        <w:rPr>
          <w:rFonts w:ascii="Segoe UI Symbol" w:hAnsi="Segoe UI Symbol"/>
        </w:rPr>
        <w:t xml:space="preserve">☐  </w:t>
      </w:r>
      <w:r>
        <w:rPr>
          <w:b/>
        </w:rPr>
        <w:t xml:space="preserve">19.8  </w:t>
      </w:r>
      <w:r>
        <w:rPr>
          <w:b/>
        </w:rPr>
        <w:t xml:space="preserve">No gag on discrimination or harassment complaints</w:t>
      </w:r>
      <w:r>
        <w:t xml:space="preserve"> — Prohibited (MUST NOT)</w:t>
      </w:r>
    </w:p>
    <w:p>
      <w:pPr>
        <w:spacing w:before="0" w:after="120"/>
        <w:ind w:left="540"/>
      </w:pPr>
      <w:r>
        <w:t xml:space="preserve">Sweep the confidentiality, non-disparagement, and any catch-all provisions for language that could prevent the worker from disclosing or discussing workplace discrimination, harassment, or sexual assault. Oregon's Workplace Fairness Act makes conditioning employment, promotion, compensation, or benefits on such a provision an unlawful employment practice — a state-law limit that operates on top of the federal carve-outs earlier in this checklist. The cure is scope: keep secrecy obligations tied to trade secrets and competitively sensitive information, which Oregon law protects without reservation. </w:t>
      </w:r>
    </w:p>
    <w:p>
      <w:pPr>
        <w:spacing w:before="360" w:after="0"/>
      </w:pPr>
      <w:r>
        <w:rPr>
          <w:color w:val="666666"/>
          <w:sz w:val="16"/>
          <w:szCs w:val="16"/>
        </w:rPr>
        <w:t xml:space="preserve">Steven Obiajulu, J.D. edits this review checklist for Oregon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