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Pennsylvania</w:t>
      </w:r>
    </w:p>
    <w:p>
      <w:pPr>
        <w:spacing w:before="0" w:after="120"/>
      </w:pPr>
      <w:r>
        <w:rPr>
          <w:i/>
          <w:color w:val="444444"/>
        </w:rPr>
        <w:t xml:space="preserve">A clause-by-clause reviewer checklist for Pennsylvania employee restrictive covenant agreements — confidentiality, non-solicits, non-competes, and non-disparagement under the Socko four-part test, the new-consideration rule for mid-employment covenants, and Act 74's health care restrictions.</w:t>
      </w:r>
    </w:p>
    <w:p>
      <w:pPr>
        <w:spacing w:before="0" w:after="240"/>
      </w:pPr>
      <w:r>
        <w:rPr>
          <w:color w:val="666666"/>
          <w:sz w:val="18"/>
          <w:szCs w:val="18"/>
        </w:rPr>
        <w:t xml:space="preserve">By Steven Obiajulu, J.D. Last reviewed 2026-06-12. License: CC BY 4.0. https://openagreements.org/checklists/non-compete/us/pennsylvania</w:t>
      </w:r>
    </w:p>
    <w:p>
      <w:pPr>
        <w:keepNext/>
        <w:spacing w:before="360" w:after="160"/>
      </w:pPr>
      <w:r>
        <w:rPr>
          <w:b/>
          <w:sz w:val="28"/>
          <w:szCs w:val="28"/>
        </w:rPr>
        <w:t xml:space="preserve">1. Parties and cover-term identification</w:t>
      </w:r>
    </w:p>
    <w:p>
      <w:pPr>
        <w:spacing w:before="0" w:after="120"/>
      </w:pPr>
      <w:r>
        <w:t xml:space="preserve">Review every item below the way a Pennsylvania court would: there is no general non-compete statute, the courts are historically hostile to restraints on trade, and every covenant must clear a four-part test — ancillary to employment, adequate consideration, reasonable limits, and a legitimate business interest — before it binds anyone. A 2024 statute adds hard limits for health care practitioners. For the question-by-question legal analysis behind these items, see the </w:t>
      </w:r>
      <w:r>
        <w:t xml:space="preserve">Pennsylvania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works for. In Pennsylvania the covenant is personal to the contracting employer — it does not automatically travel to affiliates or buyers — so a covenant papered with a parent or staffing entity raises the question of who, exactly, holds an enforceable promise.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double duty here. It starts each covenant clock, and for health care practitioners it decides whether the agreement falls under the 2024 statute: a noncompete covenant entered into after the Act's effective date is void unless it fits the narrow one-year exception. An undated practitioner agreement leaves the reviewer unable to tell which regime governs.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the actual duties. The role drives the reasonableness analysis — what counts as a protectable interest and a fair restraint differs for a salesperson and an engineer — and for clinicians it is dispositive: the statute names five covered practitioner classes, from medical doctors to physician assistants, and each sits under the one-year cap and dismissal rule checked at the end of this checklist.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Pennsylvania's four-part test, its consideration rule, and Act 74 — or against some other body of law —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genuinely guards. Pennsylvania's foundational case recognized the carefully guarded methods of doing business that amount to trade secrets as the kind of interest a covenant may protect — a definition that sweeps in everything the worker ever learned reads as suppression of ordinary competition, which Pennsylvania law does not protect.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separate term lets trade-secret protection run as long as secrecy lasts while everything else gets a finite term, and it anchors the strongest protectable interest available to support the covenants — the specialized methods Pennsylvania courts have protected since the 1950s.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Pennsylvania has no statutory cap for the ordinary workforce — a covenant is only presumptively enforceable when reasonably limited as to duration, measured against the interest protected — and health care practitioner covenants are capped at one year by statute regardless of what the agreement says.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employer actually competes. Pennsylvania courts enforce post-employment restraints only when they are reasonably limited in geographic extent and reasonably necessary to protect the employer — a territory drawn around aspiration rather than the real market is the classic overbreadth that invites a court to enforce less than the employer drafted, or nothing at all.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A recent Pennsylvania appellate decision declined to stretch a restriction to customers whose relationships predated the employee's tenure — the employer never built that goodwill through this worker, so restraining it protects nothing the law recognizes.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Pennsylvania statute or staged decision speaks directly to employee non-solicits, so the clause is judged on the same reasonableness principles as every other restraint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Pennsylvania recognizes: trade secrets, confidential information, customer goodwill, and genuinely specialized training. The fourth element of the enforceability test runs through these interests, and the covenants are enforced only so far as reasonably necessary to protect them — a recital that claims only a wish to avoid competition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then test the definition against the worker's trade. Pennsylvania courts subject these covenants to close scrutiny precisely because the parties bargain from unequal positions — a definition that swallows the worker's whole occupation hands the employee that scrutiny argument fully formed.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is breadth no protectable interest justifies — exactly the gratuitous overreach Pennsylvania courts have warned drafters away from.</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Avoid (SHOULD NOT)</w:t>
      </w:r>
    </w:p>
    <w:p>
      <w:pPr>
        <w:spacing w:before="0" w:after="120"/>
        <w:ind w:left="540"/>
      </w:pPr>
      <w:r>
        <w:t xml:space="preserve">Pennsylvania reads solicitation as something the employee does, not something that happens to them. A 2026 Superior Court memorandum held that the verbs </w:t>
      </w:r>
      <w:r>
        <w:rPr>
          <w:i/>
        </w:rPr>
        <w:t xml:space="preserve">solicit</w:t>
      </w:r>
      <w:r>
        <w:t xml:space="preserve">, </w:t>
      </w:r>
      <w:r>
        <w:rPr>
          <w:i/>
        </w:rPr>
        <w:t xml:space="preserve">divert</w:t>
      </w:r>
      <w:r>
        <w:t xml:space="preserve">, and </w:t>
      </w:r>
      <w:r>
        <w:rPr>
          <w:i/>
        </w:rPr>
        <w:t xml:space="preserve">entice</w:t>
      </w:r>
      <w:r>
        <w:t xml:space="preserve"> each require an affirmative act — so a worker who merely accepts business from clients who seek him out has not breached — and found a non-solicitation clause unenforceable as written because it had no geographic scope. The decision is non-precedential, but it applies settled reasonableness principles: define soliciting as affirmative outreach directed at covered customers, give the clause a geographic limit, and do not write a definition that quietly converts the clause into a ban on accepting work.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the same way — and capture who ended the relationship and why, because in Pennsylvania that fact shapes enforcement. The courts draw a significant distinction between a worker who voluntarily leaves and one fired for failing to do the job: dismissing a worker as not worth keeping undercuts the claim that the employer still needs protection from that same worker.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a mid-employment covenant</w:t>
      </w:r>
      <w:r>
        <w:t xml:space="preserve"> — Required (MUST)</w:t>
      </w:r>
    </w:p>
    <w:p>
      <w:pPr>
        <w:spacing w:before="0" w:after="120"/>
        <w:ind w:left="540"/>
      </w:pPr>
      <w:r>
        <w:t xml:space="preserve">This is the item that kills more Pennsylvania covenants than any other. A covenant signed after employment has begun is enforceable only with new and valuable consideration beyond keeping the job — a raise, bonus, promotion, or other beneficial change in status — because continued at-will employment alone is not enough. A recital that the parties intend to be legally bound does not plug the gap: the Supreme Court held the statutory recital cannot substitute for real consideration in this context. And for a covenant signed shortly after the first day, no new consideration is needed only if the parties agreed to its essential provisions when the relationship began. Find the date, find the consideration, and confirm the worker actually received it.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Pennsylvania statute demands it, but these covenants are scrutinized closely because the parties bargain from unequal positions — and a documented opportunity to take the agreement to a lawyer before signing is cheap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 fixed expiry on trade-secret confidentiality quietly forfeits protection the employer is entitled to keep, and in a state where the covenant must be tethered to a genuine protectable interest, weakening the trade-secret position weakens the covenant resting on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Pennsylvania measures every restraint against what is reasonably necessary, and a perpetual lid on non-secret material is exactly the kind of unbounded obligation that draws an overbreadth attack — the two-track structure keeps the perpetual duty where it belongs.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Pennsylvania: omit the immunity notice and the employer forfeits exemplary damages and attorney fees in a later federal trade-secret suit against the worker. For an employer whose restraint package leans on trade secrets,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builds the record an employer needs if a covenant fight comes: in a state where the restraint must track a genuine protectable interest, being able to show exactly what confidential material left and what came back makes the interest concrete instead of rhetorical.</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Pennsylvania family: no statute addresses it, so it is judged on ordinary reasonableness. Keep it inside the Covered Employees class and the Restricted Period — and remember that a clause restraining the worker from soliciting colleagues is different in kind from a clause between two businesses promising not to hire each other's people, which faces its own Pennsylvania problem checked at the end of this list.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but Pennsylvania polices its edges. Keep it tied to customers the worker actually served, give it a geographic limit, and keep the operative verbs affirmative — a recent appellate decision read soliciting, diverting, and enticing as each requiring an affirmative act, so a clause counting on catching passively accepted business is counting on language the court refused to stretch.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which is precisely the conduct Pennsylvania's affirmative-act reading of solicitation leaves free. A clause prohibiting the worker from accepting unsolicited business is therefore a deliberate escalation, not a drafting variant: treat it as a restraint that needs its own reasonableness justification, and keep the customer class and period tight.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Pennsylvania, but only on the common law's terms, and under close scrutiny. Every element gets tested: ancillary to the employment, supported by adequate consideration, reasonably limited in time and territory, and tied to a legitimate business interest. Route the review through the Pennsylvania gates at the end of this checklist — the four-part test first, then the health care rules if the worker is a covered practitioner.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whose courts enforce restraints only so far as reasonably necessary — and may decline to trim an aggressive draft — a named list is self-proving narrowness that leaves the worker the rest of the industry.</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the employer will struggle to justify as reasonably necessary for any recognized interest.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Pennsylvania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Practitioner rights and notices</w:t>
      </w:r>
      <w:r>
        <w:t xml:space="preserve"> — Recommended (SHOULD)</w:t>
      </w:r>
    </w:p>
    <w:p>
      <w:pPr>
        <w:spacing w:before="0" w:after="120"/>
        <w:ind w:left="540"/>
      </w:pPr>
      <w:r>
        <w:t xml:space="preserve">The dedicated clause should state Pennsylvania's health care rules plainly: for a covered practitioner, a noncompete covenant is enforceable only if it runs no more than one year and the practitioner was not dismissed by the employer, and the employer owes departing practitioners' recent patients a notice within 90 days. The covered classes go well beyond physicians — nurse anesthetists, nurse practitioners, and physician assistants are all in — so the clause should speak to practitioners generally, not doctors alone. The hard gates are checked in the Pennsylvania section below.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test it against Pennsylvania's four-part framework and consideration rule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a Pennsylvania court would refuse to enforce — for missing consideration, overbreadth, or the health care rules — invites a tortious-interference dispute. If the clause appears, condition any outreach on a covenant that actually survives the gates in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Pennsylvania question. No staged statute or appellate decision squarely endorses automatic tolling, and the background rules cut against open-ended extensions: every restraint must be reasonably limited in duration, and a covenant is only presumptively enforceable when reasonably limited as to time. Draft any extension as a separate, breach-tied, bounded restraint,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Enforcement of these covenants in Pennsylvania is equitable at its core — the courts speak of the equitable enforcement of post-employment restraints — so the acknowledgement supports, but never replaces, the showing a court will demand before restraining anyone.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to the harshness of a package that Pennsylvania courts already read with a skeptical eye.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Tiered restraints, not court rescue</w:t>
      </w:r>
      <w:r>
        <w:t xml:space="preserve"> — Avoid (SHOULD NOT)</w:t>
      </w:r>
    </w:p>
    <w:p>
      <w:pPr>
        <w:spacing w:before="0" w:after="120"/>
        <w:ind w:left="540"/>
      </w:pPr>
      <w:r>
        <w:t xml:space="preserve">Read the severability clause as architecture, not insurance. A Pennsylvania court of equity can enforce just the portions of an overbroad covenant that are reasonably necessary — but the power is discretionary, and the Supreme Court has warned that freely rewriting excessive restraints would reward employers for over-drafting, secure in the knowledge that something survives. A covenant drafted far broader than necessary may get no rescue at all. Prefer separable tiers, customer-specific alternatives, and distinct duration and geography steps that give a court reasonable text to enforce without authoring the restraint itself.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discipline matters in Pennsylvania because each surviving restraint is measured on its own footing against the four-part test: a defensible customer non-solicit should not have its fate bundled with a shakier market-wide ban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Express assignability provision</w:t>
      </w:r>
      <w:r>
        <w:t xml:space="preserve"> — Recommended (SHOULD)</w:t>
      </w:r>
    </w:p>
    <w:p>
      <w:pPr>
        <w:spacing w:before="0" w:after="120"/>
        <w:ind w:left="540"/>
      </w:pPr>
      <w:r>
        <w:t xml:space="preserve">In Pennsylvania this clause is load-bearing, not boilerplate. The Supreme Court holds that a restrictive covenant in an employment agreement does not pass to a buyer in an asset sale unless the agreement contains a specific assignability provision — the covenant is personal, confined to the employer the worker actually contracted with. A generic successors-and-assigns recital that never mentions the restrictive covenants leaves an acquirer with nothing to enforce, so confirm the express provision exists in every agreement a transaction is counting on.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For a Pennsylvania workforce the honest selection is Pennsylvania law and a Pennsylvania forum: the covenant was presumably drafted against the four-part test, the consideration rule, and the health care statute, and a foreign-law clause papering a Pennsylvania clinician or salesperson signals a form that was never localized — and tees up a choice-of-law fight on top of the merits.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Pennsylvania trap inside: a covenant added by amendment after the initial contract is a later-agreed restraint, and a later-agreed restraint must be supported by new consideration of its own. Review the amendment mechanics so a routine refresh does not quietly create a covenant the employer never paid for — and remember that an intend-to-be-legally-bound recital cannot stand in for the missing value. </w:t>
      </w:r>
    </w:p>
    <w:p>
      <w:pPr>
        <w:keepNext/>
        <w:spacing w:before="360" w:after="160"/>
      </w:pPr>
      <w:r>
        <w:rPr>
          <w:b/>
          <w:sz w:val="28"/>
          <w:szCs w:val="28"/>
        </w:rPr>
        <w:t xml:space="preserve">19. Pennsylvania gates (four-part test and Act 74)</w:t>
      </w:r>
    </w:p>
    <w:p>
      <w:pPr>
        <w:spacing w:before="0" w:after="120"/>
      </w:pPr>
      <w:r>
        <w:t xml:space="preserve">The four items below exist only on this Pennsylvania page: the four-part enforceability test every covenant must pass, the two hard limits the health care statute imposes, and the rule against no-hire promises between businesses.</w:t>
      </w:r>
    </w:p>
    <w:p>
      <w:pPr>
        <w:keepNext/>
        <w:spacing w:before="200" w:after="80"/>
      </w:pPr>
      <w:r>
        <w:rPr>
          <w:rFonts w:ascii="Segoe UI Symbol" w:hAnsi="Segoe UI Symbol"/>
        </w:rPr>
        <w:t xml:space="preserve">☐  </w:t>
      </w:r>
      <w:r>
        <w:rPr>
          <w:b/>
        </w:rPr>
        <w:t xml:space="preserve">19.1  </w:t>
      </w:r>
      <w:r>
        <w:rPr>
          <w:b/>
        </w:rPr>
        <w:t xml:space="preserve">All four enforceability elements satisfied</w:t>
      </w:r>
      <w:r>
        <w:t xml:space="preserve"> — Required (MUST)</w:t>
      </w:r>
    </w:p>
    <w:p>
      <w:pPr>
        <w:spacing w:before="0" w:after="120"/>
        <w:ind w:left="540"/>
      </w:pPr>
      <w:r>
        <w:t xml:space="preserve">Run every restraint through Pennsylvania's four questions: is the covenant ancillary to an employment relationship, is it supported by adequate consideration, is it reasonably limited in duration and geographic extent, and is it designed to protect a legitimate interest of the employer? All four must hold — a covenant reasonably limited in every dimension still fails if the consideration was just keeping the job, and a well-paid-for covenant still fails if it protects nothing but freedom from competition. The framework is decades old: a post-employment covenant is only presumptively enforceable when reasonably limited as to time and geography, and even then the courts enforce no more than the employer's protection requires. </w:t>
      </w:r>
    </w:p>
    <w:p>
      <w:pPr>
        <w:keepNext/>
        <w:spacing w:before="200" w:after="80"/>
      </w:pPr>
      <w:r>
        <w:rPr>
          <w:rFonts w:ascii="Segoe UI Symbol" w:hAnsi="Segoe UI Symbol"/>
        </w:rPr>
        <w:t xml:space="preserve">☐  </w:t>
      </w:r>
      <w:r>
        <w:rPr>
          <w:b/>
        </w:rPr>
        <w:t xml:space="preserve">19.2  </w:t>
      </w:r>
      <w:r>
        <w:rPr>
          <w:b/>
        </w:rPr>
        <w:t xml:space="preserve">Health care non-competes capped at one year, gone on dismissal</w:t>
      </w:r>
      <w:r>
        <w:t xml:space="preserve"> — Prohibited (MUST NOT)</w:t>
      </w:r>
    </w:p>
    <w:p>
      <w:pPr>
        <w:spacing w:before="0" w:after="120"/>
        <w:ind w:left="540"/>
      </w:pPr>
      <w:r>
        <w:t xml:space="preserve">For a covered health care practitioner — a medical doctor, doctor of osteopathy, certified registered nurse anesthetist, certified registered nurse practitioner, or physician assistant — a noncompete covenant entered into after the 2024 Act's effective date is void as against public policy, with one narrow exception: it runs no more than one year and the practitioner was not dismissed by the employer. Both conditions matter — a facially reasonable two-year clinician restraint is simply void, and even a one-year covenant evaporates if the employer did the dismissing. Skip the reasonableness balancing entirely for these workers; check the practitioner class, the date, the length, and who ended the relationship. The Act leaves room for recovering practitioner-specific expenses such as relocation, training, and patient-base costs accrued in the three years before separation, amortized over up to five years — but not when the employer dismissed the practitioner. </w:t>
      </w:r>
    </w:p>
    <w:p>
      <w:pPr>
        <w:keepNext/>
        <w:spacing w:before="200" w:after="80"/>
      </w:pPr>
      <w:r>
        <w:rPr>
          <w:rFonts w:ascii="Segoe UI Symbol" w:hAnsi="Segoe UI Symbol"/>
        </w:rPr>
        <w:t xml:space="preserve">☐  </w:t>
      </w:r>
      <w:r>
        <w:rPr>
          <w:b/>
        </w:rPr>
        <w:t xml:space="preserve">19.3  </w:t>
      </w:r>
      <w:r>
        <w:rPr>
          <w:b/>
        </w:rPr>
        <w:t xml:space="preserve">Patient notice after a practitioner departs</w:t>
      </w:r>
      <w:r>
        <w:t xml:space="preserve"> — Required (MUST)</w:t>
      </w:r>
    </w:p>
    <w:p>
      <w:pPr>
        <w:spacing w:before="0" w:after="120"/>
        <w:ind w:left="540"/>
      </w:pPr>
      <w:r>
        <w:t xml:space="preserve">When a covered practitioner leaves, the employer must notify the patients the practitioner saw within the past year — where there was an ongoing outpatient relationship of at least two years — within 90 days of the departure. The duty is the employer's and does not depend on whether any covenant survives, so confirm the agreement's confidentiality and covenant language does not treat the practitioner's departure or destination as a secret the employer cannot share with patients. An organization that papers the covenant but has no notice workflow has satisfied the easy half of the statute. </w:t>
      </w:r>
    </w:p>
    <w:p>
      <w:pPr>
        <w:keepNext/>
        <w:spacing w:before="200" w:after="80"/>
      </w:pPr>
      <w:r>
        <w:rPr>
          <w:rFonts w:ascii="Segoe UI Symbol" w:hAnsi="Segoe UI Symbol"/>
        </w:rPr>
        <w:t xml:space="preserve">☐  </w:t>
      </w:r>
      <w:r>
        <w:rPr>
          <w:b/>
        </w:rPr>
        <w:t xml:space="preserve">19.4  </w:t>
      </w:r>
      <w:r>
        <w:rPr>
          <w:b/>
        </w:rPr>
        <w:t xml:space="preserve">No business-to-business no-hire clauses</w:t>
      </w:r>
      <w:r>
        <w:t xml:space="preserve"> — Avoid (SHOULD NOT)</w:t>
      </w:r>
    </w:p>
    <w:p>
      <w:pPr>
        <w:spacing w:before="0" w:after="120"/>
        <w:ind w:left="540"/>
      </w:pPr>
      <w:r>
        <w:t xml:space="preserve">If the covenant package rides a commercial contract between businesses, check for a clause promising that one business will not hire the other's people. The Pennsylvania Supreme Court balanced such a provision's overbreadth and public harm against the company's interest and held it unreasonably in restraint of trade and unenforceable — it was greater than needed and restrained workers who were not parties to the contract and received no consideration. Strike the clause and protect the relationship the direct way: narrowly drawn confidentiality obligations and worker-side covenants supported by consideration. </w:t>
      </w:r>
    </w:p>
    <w:p>
      <w:pPr>
        <w:spacing w:before="360" w:after="0"/>
      </w:pPr>
      <w:r>
        <w:rPr>
          <w:color w:val="666666"/>
          <w:sz w:val="16"/>
          <w:szCs w:val="16"/>
        </w:rPr>
        <w:t xml:space="preserve">Steven Obiajulu, J.D. edits this review checklist for Pennsylvania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