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South Carolina</w:t>
      </w:r>
    </w:p>
    <w:p>
      <w:pPr>
        <w:spacing w:before="0" w:after="120"/>
      </w:pPr>
      <w:r>
        <w:rPr>
          <w:i/>
          <w:color w:val="444444"/>
        </w:rPr>
        <w:t xml:space="preserve">A clause-by-clause reviewer checklist for South Carolina employee restrictive covenant agreements — confidentiality, non-solicits, non-competes, and non-disparagement under the five-factor common-law reasonableness test, where an overbroad covenant fails whole and no court will narrow or reform it.</w:t>
      </w:r>
    </w:p>
    <w:p>
      <w:pPr>
        <w:spacing w:before="0" w:after="240"/>
      </w:pPr>
      <w:r>
        <w:rPr>
          <w:color w:val="666666"/>
          <w:sz w:val="18"/>
          <w:szCs w:val="18"/>
        </w:rPr>
        <w:t xml:space="preserve">By Steven Obiajulu, J.D. Last reviewed 2026-06-12. License: CC BY 4.0. https://openagreements.org/checklists/non-compete/us/south-carolina</w:t>
      </w:r>
    </w:p>
    <w:p>
      <w:pPr>
        <w:keepNext/>
        <w:spacing w:before="360" w:after="160"/>
      </w:pPr>
      <w:r>
        <w:rPr>
          <w:b/>
          <w:sz w:val="28"/>
          <w:szCs w:val="28"/>
        </w:rPr>
        <w:t xml:space="preserve">1. Parties and cover-term identification</w:t>
      </w:r>
    </w:p>
    <w:p>
      <w:pPr>
        <w:spacing w:before="0" w:after="120"/>
      </w:pPr>
      <w:r>
        <w:t xml:space="preserve">Review every item below the way a South Carolina court would: a non-compete is a restraint of trade that is disfavored as a matter of public policy, upheld only when all five reasonableness factors hold, construed strictly against the employer — and never rewritten into something narrower when it reaches too far. For the question-by-question legal analysis behind these items, see the </w:t>
      </w:r>
      <w:r>
        <w:t xml:space="preserve">South Carolina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customer relationships the covenants protect. The legitimate-interest analysis here is built around protecting the employer against the loss of its customers, so a covenant running to an affiliate with no relationship to those customers starts the reasonableness test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two separate questions: when each restricted period starts and ends, and whether the covenant was signed at hire or after employment had already begun — which decides whether the agreement needs separate consideration beyond the job itself. An undated covenant leaves both open.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two of the five factors: whether a restraint on this particular worker is necessary to protect a legitimate interest, and whether it is unduly harsh in curtailing this worker's ability to earn a living. A form covenant pinned to a role with no customer contact or sensitive access is hard to justify on either.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South Carolina law controls — the conjunctive five-factor test, strict construction against the employer, and the rule that no court will narrow an overbroad covenant.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secret or competitively sensitive. A definition so broad that keeping the information confidential effectively bars the worker from doing similar work converts the clause into a functional non-compete — and South Carolina then judges it like one, time limit and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statute. South Carolina imposes a statutory duty on every employee who knows of an employer's trade secret to refrain from using or disclosing it, independent of any contract — the employer's most durable protection, and one that survives even if every covenant on this page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definite stretch of time the worker can count. Provisions that restrained competition with no reasonable time restriction violated South Carolina public policy, and a definition that floats on events — breach, litigation, renewals — drifts toward exactly that defect.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is measured against necessity: a territorial scope is unreasonable if it covers an area broader than necessary to protect the employer's legitimate interest. Match the territory to where this worker actually operated and served customers, because a court here will not shrink an overdrawn map — the covenant simply fails.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had contact with during a stated look-back window. A covenant limited to the employee's contacts from his last twelve months of employment withstood an overbreadth challenge — and a contact-based customer class can even stand in for a geographic limit.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and watch the verb: the state supreme court read an employee covenant as barring inducement of co-workers to breach their contracts, not as preventing it from hiring them outright. Language that assumes a blanket no-hire overshoots what the construction rule supports.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relationships this worker controlled, the genuinely secret information this role touched. The first factor demands a legitimate interest, and an employer is not entitled to enforce an agreement that simply prevents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anything the employer might someday do presses on the harshness factor — curtailing the legitimate efforts of the employee to earn a livelihood — and breadth added here must be justified on every other factor too, with no court willing to trim the excess.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restrains the worker far beyond any customer relationship or secret, and it hands the harshness factor an easy example.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When covenant language is ambiguous, South Carolina courts read it the narrow way — an employee covenant was construed to bar inducing co-workers to breach rather than the broader reading the employer wanted — so a drafter who needs the wider meaning must say so expressly and then defend the added breadth.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 — which a court will resolve against the drafter.</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matters more here than in most boilerplate reviews: a covenant entered after employment has already begun needs separate consideration beyond continued at-will work, and in the controlling case the employee's unchanged duties, position, and salary supplied nothing. The acknowledgement should record when the covenant was signed relative to the first day of work and exactly what new value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South Carolina statute requires it, but a documented chance to take advice is useful evidence on the factors a court actually weighs — that the covenant is not unduly harsh in how it was obtained and not offensive to public policy.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trade-secret status to continued secrecy, and South Carolina's own statute says a trade secret endures and is protectable until it is disclosed or discovered by proper means — so a fixed expiry on trade-secret protection gives away the one obligation that never needed a covenant to survive.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Nondisclosure provisions that operated as non-competes with no reasonable time restriction violated South Carolina public policy — and an open-ended lid on non-secret information is the classic way a confidentiality clause crosses that line.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whose covenant rules push employers toward statutory trade-secret protection, those remedies do real work.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strictly construed covenant does not need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Statutory trade-secret protection lasts only until the secret is disclosed or discovered by proper means, so a clean exit procedure is not just housekeeping — it is how the employer keeps the secrecy that the statute conditions everything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recognized here: South Carolina protects an employer's contractual relationships with its own employees. But the recognized version is narrow — a bar on inducing co-workers to breach their contracts, not a bar on ever hiring them — so review the clause against that construction and keep the covered class to real working relationships.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usually the easiest covenant in the suite to defend — when it is tied to the customers the worker actually served. Tied instead to the employer's whole book of business, it stops protecting customer relationships and starts preventing ordinary competition, which no South Carolina employer is entitled to enforce. Route it through the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That extra breadth needs its own justification — prohibiting contact with customers the worker never serviced was held to protect no legitimate interest at all — so insist on a tight, contact-based customer class before this clause earns its place.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South Carolina non-compete is a disfavored restraint of trade upheld only when all five reasonableness factors hold — legitimate interest, reasonable time and place, no undue harshness, sound public policy, valuable consideration. The factors are conjunctive: review the clause as a package, because one failed factor sinks it whole and nothing on this page gets rescued by a court afterward.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Narrowing done at the drafting table is the only narrowing this covenant will ever get — the restrictions must stand or fall on their own terms, and no court will rewrite them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hands the harshness and public-policy factors exactly the breadth they count against the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South Carolina has no enacted physician carve-out today: a physician covenant is reviewed under the ordinary five-factor test, with patient access to care a likely pressure point on the public-policy factor. Watch the legislature, though — H.4767 would declare physician noncompete clauses against the public policy of the State, and as of this review it had passed the House and drawn a favorable Senate committee report without being enacted. The dedicated clause should state the agreement's actual treatment of physicians under current law, and any physician deal signed now should be priced with the pending bill in mind rather than drafted as if it had already passed.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the five-factor test here, but one that survives review is a genuine hazard for the hiring employer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that cannot clear the five-factor test overstates the employer's position and creates its own interference exposure — so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not stretched past its end date</w:t>
      </w:r>
      <w:r>
        <w:t xml:space="preserve"> — Avoid (SHOULD NOT)</w:t>
      </w:r>
    </w:p>
    <w:p>
      <w:pPr>
        <w:spacing w:before="0" w:after="120"/>
        <w:ind w:left="540"/>
      </w:pPr>
      <w:r>
        <w:t xml:space="preserve">Do not count on the restricted period lasting longer than the words say. The state supreme court held that any extension of a covenant's time period past its stated expiration would be against public policy, and no South Carolina decision endorses automatic tolling while a breach runs. A contractual clause pausing the clock during a breach is an open question no surveyed case squarely decides — if one appears, it should be a separate, reasonable term tied to the duration of the breach, and it still has to clear the reasonably-limited-in-time factor like everything else.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relief presupposes a covenant that first clears all five reasonableness factors. An unenforceable restraint supports no injunction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If a fee provision appears, check that it runs both ways — a one-sided clause in an agreement a court already construes against the employer reads as one more mark of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Written-in fallbacks, not a court rescue</w:t>
      </w:r>
      <w:r>
        <w:t xml:space="preserve"> — Avoid (SHOULD NOT)</w:t>
      </w:r>
    </w:p>
    <w:p>
      <w:pPr>
        <w:spacing w:before="0" w:after="120"/>
        <w:ind w:left="540"/>
      </w:pPr>
      <w:r>
        <w:t xml:space="preserve">Read the severability boilerplate against what South Carolina courts will actually do, which is nothing: the restrictions in a non-compete cannot be rewritten by a court or limited by the parties' later agreement — they stand or fall on their own terms — and a court will not add a missing limitation the parties never negotiated. A clause asking the court to reduce the restraint to whatever is reasonable is therefore a dead letter. The protection that does work is text the parties already wrote: an alternative, narrower restriction built into the original agreement can remain enforceable even when the primary one is overbroad, so look for tiered step-down territories and durations as real agreed language, each covenant self-contained and reasonable on its own.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non-solicit outlive a failed non-compete — and in a state where the failed clause gets no judicial repair, that separateness is the difference between losing one covenant and losing them all.</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posture with it — the same five factors, the same strict construction, the same no-rescue rule — so an assignment clause moves the covenant without improving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Name the governing law, venue, and dispute process. This checklist analyzes the South Carolina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 later amendment that re-papers a covenant mid-employment is itself a covenant entered after the inception of employment, so it needs its own separate consideration beyond the worker simply keeping the job — and the amendment mechanics should leave a record of what new value moved. </w:t>
      </w:r>
    </w:p>
    <w:p>
      <w:pPr>
        <w:keepNext/>
        <w:spacing w:before="360" w:after="160"/>
      </w:pPr>
      <w:r>
        <w:rPr>
          <w:b/>
          <w:sz w:val="28"/>
          <w:szCs w:val="28"/>
        </w:rPr>
        <w:t xml:space="preserve">19. South Carolina enforceability gates</w:t>
      </w:r>
    </w:p>
    <w:p>
      <w:pPr>
        <w:spacing w:before="0" w:after="120"/>
      </w:pPr>
      <w:r>
        <w:t xml:space="preserve">The five items below exist only on this South Carolina page: they implement the conjunctive five-factor common-law test, the separate-consideration rule for mid-employment covenants, the customer-scope limit, the time-limit rule for confidentiality language that works like a non-compete, and the sale-of-business framework line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All five reasonableness factors satisfied</w:t>
      </w:r>
      <w:r>
        <w:t xml:space="preserve"> — Required (MUST)</w:t>
      </w:r>
    </w:p>
    <w:p>
      <w:pPr>
        <w:spacing w:before="0" w:after="120"/>
        <w:ind w:left="540"/>
      </w:pPr>
      <w:r>
        <w:t xml:space="preserve">Run every restraint through all five factors: necessary to protect a legitimate interest of the employer, reasonably limited in time and place, not unduly harsh on the worker's ability to earn a living, sound as a matter of public policy, and supported by valuable consideration. The test is conjunctive and the covenant is a disfavored restraint construed against the employer — one failed factor is fatal, and there is no narrowing afterward — so score each covenant on each factor, in writing, before relying on any of them. </w:t>
      </w:r>
    </w:p>
    <w:p>
      <w:pPr>
        <w:keepNext/>
        <w:spacing w:before="200" w:after="80"/>
      </w:pPr>
      <w:r>
        <w:rPr>
          <w:rFonts w:ascii="Segoe UI Symbol" w:hAnsi="Segoe UI Symbol"/>
        </w:rPr>
        <w:t xml:space="preserve">☐  </w:t>
      </w:r>
      <w:r>
        <w:rPr>
          <w:b/>
        </w:rPr>
        <w:t xml:space="preserve">19.2  </w:t>
      </w:r>
      <w:r>
        <w:rPr>
          <w:b/>
        </w:rPr>
        <w:t xml:space="preserve">New value for a covenant signed after hiring</w:t>
      </w:r>
      <w:r>
        <w:t xml:space="preserve"> — Required (MUST)</w:t>
      </w:r>
    </w:p>
    <w:p>
      <w:pPr>
        <w:spacing w:before="0" w:after="120"/>
        <w:ind w:left="540"/>
      </w:pPr>
      <w:r>
        <w:t xml:space="preserve">A covenant signed after employment has begun must come with separate consideration — continued at-will employment is not enough, and an unchanged role supplies nothing. Look for a raise, bonus, promotion, or genuine change in status recited in the agreement and traceable in the record; without it the fifth factor fails and the covenant fails with it. </w:t>
      </w:r>
    </w:p>
    <w:p>
      <w:pPr>
        <w:keepNext/>
        <w:spacing w:before="200" w:after="80"/>
      </w:pPr>
      <w:r>
        <w:rPr>
          <w:rFonts w:ascii="Segoe UI Symbol" w:hAnsi="Segoe UI Symbol"/>
        </w:rPr>
        <w:t xml:space="preserve">☐  </w:t>
      </w:r>
      <w:r>
        <w:rPr>
          <w:b/>
        </w:rPr>
        <w:t xml:space="preserve">19.3  </w:t>
      </w:r>
      <w:r>
        <w:rPr>
          <w:b/>
        </w:rPr>
        <w:t xml:space="preserve">Customer limits tied to real contacts</w:t>
      </w:r>
      <w:r>
        <w:t xml:space="preserve"> — Avoid (SHOULD NOT)</w:t>
      </w:r>
    </w:p>
    <w:p>
      <w:pPr>
        <w:spacing w:before="0" w:after="120"/>
        <w:ind w:left="540"/>
      </w:pPr>
      <w:r>
        <w:t xml:space="preserve">Customer restrictions should not reach people the worker never served. Federal courts applying South Carolina law upheld a covenant limited to the employee's contacts from his final twelve months — and refused to enforce one that barred soliciting customers the employee had never serviced, because prohibiting those contacts protected no legitimate interest. Bound the class to actual contacts in a stated look-back window; an employer cannot enforce a clause that merely prevents ordinary competition. </w:t>
      </w:r>
    </w:p>
    <w:p>
      <w:pPr>
        <w:keepNext/>
        <w:spacing w:before="200" w:after="80"/>
      </w:pPr>
      <w:r>
        <w:rPr>
          <w:rFonts w:ascii="Segoe UI Symbol" w:hAnsi="Segoe UI Symbol"/>
        </w:rPr>
        <w:t xml:space="preserve">☐  </w:t>
      </w:r>
      <w:r>
        <w:rPr>
          <w:b/>
        </w:rPr>
        <w:t xml:space="preserve">19.4  </w:t>
      </w:r>
      <w:r>
        <w:rPr>
          <w:b/>
        </w:rPr>
        <w:t xml:space="preserve">NDA that works like a non-compete has a time limit</w:t>
      </w:r>
      <w:r>
        <w:t xml:space="preserve"> — Prohibited (MUST NOT)</w:t>
      </w:r>
    </w:p>
    <w:p>
      <w:pPr>
        <w:spacing w:before="0" w:after="120"/>
        <w:ind w:left="540"/>
      </w:pPr>
      <w:r>
        <w:t xml:space="preserve">A nondisclosure provision must not function as a non-compete without a reasonable time limit. Genuine confidentiality and invention-assignment clauses are not restraints of trade here and escape strict construction — but provisions whose practical effect is to bar the worker from similar work are judged as non-competes, and ones with no reasonable time restriction violated the public policy of the State. Read each nondisclosure clause for its effect, not its caption, and confirm anything that operates as a restraint carries a definite term. </w:t>
      </w:r>
    </w:p>
    <w:p>
      <w:pPr>
        <w:keepNext/>
        <w:spacing w:before="200" w:after="80"/>
      </w:pPr>
      <w:r>
        <w:rPr>
          <w:rFonts w:ascii="Segoe UI Symbol" w:hAnsi="Segoe UI Symbol"/>
        </w:rPr>
        <w:t xml:space="preserve">☐  </w:t>
      </w:r>
      <w:r>
        <w:rPr>
          <w:b/>
        </w:rPr>
        <w:t xml:space="preserve">19.5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given by the seller, supported by deal consideration. Covenants executed in conjunction with the sale of a business are scrutinized at a more relaxed level than employment covenants, and the court upheld a sale-related territorial restriction under that standard; a covenant signed as a condition of employment gets no such grace, so the papering decides which test applies. </w:t>
      </w:r>
    </w:p>
    <w:p>
      <w:pPr>
        <w:spacing w:before="360" w:after="0"/>
      </w:pPr>
      <w:r>
        <w:rPr>
          <w:color w:val="666666"/>
          <w:sz w:val="16"/>
          <w:szCs w:val="16"/>
        </w:rPr>
        <w:t xml:space="preserve">Steven Obiajulu, J.D. edits this review checklist for South Carolina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