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Tennessee</w:t>
      </w:r>
    </w:p>
    <w:p>
      <w:pPr>
        <w:spacing w:before="0" w:after="120"/>
      </w:pPr>
      <w:r>
        <w:rPr>
          <w:i/>
          <w:color w:val="444444"/>
        </w:rPr>
        <w:t xml:space="preserve">A clause-by-clause reviewer checklist for Tennessee employee restrictive covenant agreements — confidentiality, non-solicits, non-competes, and non-disparagement under the Hasty reasonableness test and the 2026 statute that voids non-competes below $70,000 and presumes long time restraints unreasonable.</w:t>
      </w:r>
    </w:p>
    <w:p>
      <w:pPr>
        <w:spacing w:before="0" w:after="240"/>
      </w:pPr>
      <w:r>
        <w:rPr>
          <w:color w:val="666666"/>
          <w:sz w:val="18"/>
          <w:szCs w:val="18"/>
        </w:rPr>
        <w:t xml:space="preserve">By Steven Obiajulu, J.D. Last reviewed 2026-06-12. License: CC BY 4.0. https://openagreements.org/checklists/non-compete/us/tennessee</w:t>
      </w:r>
    </w:p>
    <w:p>
      <w:pPr>
        <w:keepNext/>
        <w:spacing w:before="360" w:after="160"/>
      </w:pPr>
      <w:r>
        <w:rPr>
          <w:b/>
          <w:sz w:val="28"/>
          <w:szCs w:val="28"/>
        </w:rPr>
        <w:t xml:space="preserve">1. Parties and cover-term identification</w:t>
      </w:r>
    </w:p>
    <w:p>
      <w:pPr>
        <w:spacing w:before="0" w:after="120"/>
      </w:pPr>
      <w:r>
        <w:t xml:space="preserve">Review every item below the way a Tennessee court would: covenants not to compete are disfavored restraints of trade enforced only when they protect a legitimate interest and stay reasonable, and an enacted statute with a delayed July 1, 2026 effective date will void non-competes against employees earning under $70,000 and presume overlong time restraints unreasonable, reaching proceedings occurring and agreements entered into, renewed, or amended on or after that date. For the question-by-question legal analysis behind these items, see the </w:t>
      </w:r>
      <w:r>
        <w:t xml:space="preserve">Tennessee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and pays the worker. Tennessee tests a non-compete against the employee's annualized compensation from July 1, 2026, and the consideration analysis runs between the covenant parties — a covenant signed with an affiliate that pays nothing muddies both showings at once.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regime-selection work in Tennessee: the 2026 act applies to agreements entered into, renewed, or amended on or after July 1, 2026, and to enforcement proceedings occurring on or after that date. An undated covenant leaves unclear which set of rules — common law alone, or common law plus the statutory threshold and time presumptions — governs the document in front of you.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 in Tennessee it routes the review. Title and duties signal whether the worker carries the special facts that support a covenant at all, whether the licensure-based health-care rules apply, and whether emergency medicine takes the covenant off the table entirely. Compensation, checked separately, decides the statutory threshold.</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If the clause names another state's law for a Tennessee worker, do not treat it as settled: a Tennessee court honors that intent only when certain requirements are met, so the selection gets its own scrutiny later in this checklist.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Tennessee's threshold rule: the general knowledge, skill, and experience a worker brings to the job or develops on it belong to the worker, and a covenant cannot be used to restrain ordinary competition. A confidential-information definition that quietly sweeps in everything the employee learned converts a protectable-interest clause into an ordinary-competition restraint.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Tennessee's trade-secret statute rewards the distinction: a contractual duty to protect a trade secret is not void merely for lacking a time or geographic limit, a privilege the broader confidentiality clause does not enjoy.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statutory windows. For covenants governed by the 2026 act, the presumptively reasonable employee restraint is two years or less measured from the date the relationship terminates — so the definition should make both the length and the start date unambiguous.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Geography stays a common-law question even after the 2026 statute: the ultimate test is whether the territorial limits are greater than required to protect the employer's business interest. Tie the territory to where the employee actually worked or served customers — a footprint drawn from corporate ambition rather than the employee's reach is the classic overbreadth finding.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served during a stated look-back window. Customer relationships in which the employee is the face of the business are among the special facts that justify a Tennessee covenant in the first place — an entire-book-of-business definition claims relationships the employee never embodied.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Employee non-solicits are expressly preserved by the 2026 statute, but the preservation protects the form — a workforce-wide hiring ban drafted under a non-solicit heading invites reclassification.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This definition carries the Tennessee threshold showing. Before any balancing happens, the employer must point to special facts over and above ordinary competition — trade secrets or confidential information, investment in special training, or face-of-the-business customer relationships. A recital of generic goodwill names no special fact and supports no covenant.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Tennessee courts can narrow an overbroad covenant, but a definition stretched to anything the employer might someday do reads as deliberate overreach — and deliberate overreach is what costs a covenant the court's willingness to save it.</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restrains far more than any legitimate interest requires, and gratuitous breadth is exactly what the Tennessee balancing test punishes.</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identifiable conduct. The 2026 statute preserves customer and employee non-solicitation agreements as their own category, distinct from the non-competes it regulates — a solicitation definition so broad that it bars serving anyone who calls first drifts out of the preserved category and toward non-compete treatment.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The statutory two-year window is measured from the date the employment or business relationship terminates, so an ambiguous trigger makes the single most important clock on the page contestable.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Signing date and what the employee got</w:t>
      </w:r>
      <w:r>
        <w:t xml:space="preserve"> — Recommended (SHOULD)</w:t>
      </w:r>
    </w:p>
    <w:p>
      <w:pPr>
        <w:spacing w:before="0" w:after="120"/>
        <w:ind w:left="540"/>
      </w:pPr>
      <w:r>
        <w:t xml:space="preserve">Tennessee accepts continued employment as consideration for a covenant signed after hire — but only when the employment actually continues for an appreciable period, and no case fixes how long is long enough. The acknowledgement should pin down the signing date relative to the start of employment and what consideration moved; for a post-hire covenant, the safer pattern pairs the signature with employment that demonstrably continued or with separate consideration the recital can point to.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Tennessee statute demands it, but the reasonableness balance weighs the consideration supporting the agreement and the hardship on the employee — a documented opportunity to take the covenant to a lawyer is cheap evidence that the process was fair rather than ambush paperwork.</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federal law keys the right to continued secrecy, and Tennessee's own act confirms that a contractual secrecy duty needs no time or geographic limit to be enforceable. A fixed expiry on trade-secret protection gives away the one obligation the law lets run indefinitely.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no-time-limit privilege belongs to trade secrets; a perpetual lid on everything else is the kind of breadth that gets a confidentiality clause examined as a restraint rather than as housekeeping.</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Tennessee: omit the immunity notice and the employer forfeits exemplary damages and attorney fees in a later trade-secret suit against the worker. For an employer whose strongest Tennessee remedies often run through trade-secret law rather than a contested covenant, that is an expensive clause to skip.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outrank a subpoena, and the carve-out keeps the employee from facing breach exposure for complying with one.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whose covenants rest on proving special facts like trade secrets and confidential information, the certification is the cleanest contemporaneous evidence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on firm Tennessee footing: the 2026 statute expressly preserves an employer's ability to enforce an employee non-solicitation agreement, keeping it outside both the time presumptions and the compensation threshold. Keep it inside the Covered Employees class and the Restricted Period so it stays the modest restraint the preservation assumes.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Also expressly preserved by the statute — and often the better tool than a non-compete, since it maps directly onto the customer-relationship interest Tennessee recognizes. Confirm it stays tied to Covered Customers the employee actually served; a clause reaching the whole market starts to function as the non-compete it claims not to be.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step beyond solicitation. The 2026 statute's preserved list names confidentiality and non-solicitation agreements, not non-dealing, so treat this clause as one a court may analyze under the disfavored-restraint framework rather than under the carve-out. Its inclusion is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Tennessee non-compete is disfavored but not void on its face: it is enforced when reasonable under the particular circumstances. If the clause appears, route the review through the Tennessee gates at the end of this checklist — protectable interest, the $70,000 threshold, the time presumptions, and the health-care rules — before evaluating its terms. Note that the statutory two-year presumption window reaches independent contractors as well as employees, so contractor paper gets the same duration scrutiny.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Tennessee rewards restraint at the drafting stage: a court weighing whether to save or void a covenant treats deliberate overbreadth as disqualifying, and a named list is hard evidence the drafter took only what the interest required.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restraint that effectively stops the worker from earning a living in the industry will be weighed for the same employee hardship as any other restraint on the page.</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nothing in Tennessee's covenant statutes shields a non-disparagement clause from that scrutiny.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Tennessee's health-care rule plainly: a covenant restricting a covered provider's practice is deemed reasonable only if it is in a signed writing, runs two years or less, and stays within the greater of a ten-mile radius or the county of the primary practice site — and the safe harbor does not apply to physicians who specialize in emergency medicine, whose covenants have no statutory authorization at all. The detailed gates at the end of this checklist carry the full analysis.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protects the employer against interference claims from a prior employer and surfaces an incoming covenant early — when the question is still a hiring decision rather than a lawsuit.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new Tennessee hazard attached: from July 1, 2026 the statute bars an employer from enforcing — and even from requiring or requesting — a non-compete against a below-threshold employee. Warning a new employer off a worker based on a covenant the statute voids puts the letter on the wrong side of that line, so any notice clause should be conditioned on a covenant that actually survives the gates.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Tennessee question. No statute or appellate decision squarely blesses tolling, the 2026 act measures its presumption window from the date the relationship terminates and says nothing about pausing it, and a court testing the total effective restraint for reasonableness can modify or refuse an overlong one. Prefer a defined, capped extension over an open-ended tolling clause.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remember its limits here: a Tennessee court can refuse enforcement of a covenant outright, even one backed by a legitimate protectable interest, when the hardship to the worker and the harm to the public outweigh it. The recital supports the showing; it does not replace it.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American Rule applies if the agreement is silent. Where the clause appears, check that it is mutual and prevailing-party based; a one-way employer fee clause adds to the hardship side of the very balance a Tennessee court strikes before enforcing the covenant at all.</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 may narrow, but only honest drafts get saved</w:t>
      </w:r>
      <w:r>
        <w:t xml:space="preserve"> — Recommended (SHOULD)</w:t>
      </w:r>
    </w:p>
    <w:p>
      <w:pPr>
        <w:spacing w:before="0" w:after="120"/>
        <w:ind w:left="540"/>
      </w:pPr>
      <w:r>
        <w:t xml:space="preserve">A reformation clause has real footing in Tennessee: the courts follow a rule of reasonableness rather than the strict blue-pencil approach, so a judge may modify an overbroad covenant to render it reasonable, and the 2026 statute writes the same authority into the covenants it governs. The limit is just as real — a covenant shown to be deliberately unreasonable and oppressive is voided, not trimmed. Read the severability clause as permission for a court to rescue a good-faith draft, never as cover for an aggressive one.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Tennessee the discipline matters because different covenants face different statutory treatment after July 1, 2026: the non-compete answers to the threshold and the time presumptions while the preserved covenants do not, and a bundled survival clause hides which clock is which.</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Tennessee wrinkle sits in the dates: an assignment alone moves the covenant, but a renewal or amendment papered alongside a transaction on or after July 1, 2026 pulls the covenant into the new statutory regime, threshold and presumptions included.</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Out-of-state law only with a genuine connection</w:t>
      </w:r>
      <w:r>
        <w:t xml:space="preserve"> — Recommended (SHOULD)</w:t>
      </w:r>
    </w:p>
    <w:p>
      <w:pPr>
        <w:spacing w:before="0" w:after="120"/>
        <w:ind w:left="540"/>
      </w:pPr>
      <w:r>
        <w:t xml:space="preserve">The clause should state governing law, venue, and process — and if it selects another state's law for a Tennessee worker, test the selection itself. A Tennessee court honors that intent only when certain requirements are met, beginning with good-faith execution, so a clause picking a state with no genuine connection to the parties, or one deployed to escape Tennessee's protections — including the $70,000 bar once effective — should be flagged as unlikely to hold.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Tennessee trap inside: the 2026 act applies to agreements entered into, renewed, or amended on or after July 1, 2026 — so a routine amendment or renewal after that date quietly re-papers an older covenant into the threshold and presumption regime. Review the amendment mechanics with that conversion in mind before refreshing any form. </w:t>
      </w:r>
    </w:p>
    <w:p>
      <w:pPr>
        <w:keepNext/>
        <w:spacing w:before="360" w:after="160"/>
      </w:pPr>
      <w:r>
        <w:rPr>
          <w:b/>
          <w:sz w:val="28"/>
          <w:szCs w:val="28"/>
        </w:rPr>
        <w:t xml:space="preserve">19. Tennessee statutory gates (common law + 2026 Tenn. Pub. Acts ch. 934 + § 63-1-148)</w:t>
      </w:r>
    </w:p>
    <w:p>
      <w:pPr>
        <w:spacing w:before="0" w:after="120"/>
      </w:pPr>
      <w:r>
        <w:t xml:space="preserve">The six items below exist only on this Tennessee page: they implement the protectable-interest and reasonableness threshold every covenant must clear, the 2026 statute's $70,000 bar and time presumptions, the health-care safe harbor with its emergency-medicine exclusion, and the line that keeps preserved covenants from becoming non-competes in disguise.</w:t>
      </w:r>
    </w:p>
    <w:p>
      <w:pPr>
        <w:keepNext/>
        <w:spacing w:before="200" w:after="80"/>
      </w:pPr>
      <w:r>
        <w:rPr>
          <w:rFonts w:ascii="Segoe UI Symbol" w:hAnsi="Segoe UI Symbol"/>
        </w:rPr>
        <w:t xml:space="preserve">☐  </w:t>
      </w:r>
      <w:r>
        <w:rPr>
          <w:b/>
        </w:rPr>
        <w:t xml:space="preserve">19.1  </w:t>
      </w:r>
      <w:r>
        <w:rPr>
          <w:b/>
        </w:rPr>
        <w:t xml:space="preserve">Real protectable interest, reasonable terms</w:t>
      </w:r>
      <w:r>
        <w:t xml:space="preserve"> — Required (MUST)</w:t>
      </w:r>
    </w:p>
    <w:p>
      <w:pPr>
        <w:spacing w:before="0" w:after="120"/>
        <w:ind w:left="540"/>
      </w:pPr>
      <w:r>
        <w:t xml:space="preserve">Start every covenant here. The employer must show special facts over and above ordinary competition — trade secrets or confidential information, investment in special training, or customer relationships where the employee is the face of the business — because a covenant cannot be used to restrain ordinary competition. Then weigh the terms: whether time and territory exceed what the interest requires, the consideration given, the danger to the employer without the covenant, the hardship on the employee, and the public interest. A covenant that fails the threshold never reaches the balancing. </w:t>
      </w:r>
    </w:p>
    <w:p>
      <w:pPr>
        <w:keepNext/>
        <w:spacing w:before="200" w:after="80"/>
      </w:pPr>
      <w:r>
        <w:rPr>
          <w:rFonts w:ascii="Segoe UI Symbol" w:hAnsi="Segoe UI Symbol"/>
        </w:rPr>
        <w:t xml:space="preserve">☐  </w:t>
      </w:r>
      <w:r>
        <w:rPr>
          <w:b/>
        </w:rPr>
        <w:t xml:space="preserve">19.2  </w:t>
      </w:r>
      <w:r>
        <w:rPr>
          <w:b/>
        </w:rPr>
        <w:t xml:space="preserve">No non-compete under $70,000 a year</w:t>
      </w:r>
      <w:r>
        <w:t xml:space="preserve"> — Prohibited (MUST NOT)</w:t>
      </w:r>
    </w:p>
    <w:p>
      <w:pPr>
        <w:spacing w:before="0" w:after="120"/>
        <w:ind w:left="540"/>
      </w:pPr>
      <w:r>
        <w:t xml:space="preserve">From July 1, 2026, an employer may not require, request, or enforce a non-compete against an employee whose annualized compensation is under $70,000 — the violation begins with asking, not with suing — and a covenant executed in violation is void as a matter of public policy. Run the math with the statutory definition: all wages, salary, commissions, and nondiscretionary bonuses count, and an hourly employee annualizes at the hourly rate times forty times fifty-two. The act reaches agreements entered into, renewed, or amended on or after that date and enforcement proceedings occurring on or after it, so an old covenant offers no shelter in a new lawsuit. </w:t>
      </w:r>
    </w:p>
    <w:p>
      <w:pPr>
        <w:keepNext/>
        <w:spacing w:before="200" w:after="80"/>
      </w:pPr>
      <w:r>
        <w:rPr>
          <w:rFonts w:ascii="Segoe UI Symbol" w:hAnsi="Segoe UI Symbol"/>
        </w:rPr>
        <w:t xml:space="preserve">☐  </w:t>
      </w:r>
      <w:r>
        <w:rPr>
          <w:b/>
        </w:rPr>
        <w:t xml:space="preserve">19.3  </w:t>
      </w:r>
      <w:r>
        <w:rPr>
          <w:b/>
        </w:rPr>
        <w:t xml:space="preserve">Duration inside the presumption window</w:t>
      </w:r>
      <w:r>
        <w:t xml:space="preserve"> — Recommended (SHOULD)</w:t>
      </w:r>
    </w:p>
    <w:p>
      <w:pPr>
        <w:spacing w:before="0" w:after="120"/>
        <w:ind w:left="540"/>
      </w:pPr>
      <w:r>
        <w:t xml:space="preserve">For covenants governed by the 2026 act, match the duration to the relationship: two years or less for a former employee or independent contractor, measured from termination; three years or less for a distributor, dealer, franchisee, lessee, or licensee; the longer of five years or the payout period for the owner or seller of a business. A court must presume a longer restraint unreasonable in time, so anything past the window starts the enforcement case a step behind — while a within-window term is presumed reasonable in time only, with geography and the protectable interest still tested at the first gate above. </w:t>
      </w:r>
    </w:p>
    <w:p>
      <w:pPr>
        <w:keepNext/>
        <w:spacing w:before="200" w:after="80"/>
      </w:pPr>
      <w:r>
        <w:rPr>
          <w:rFonts w:ascii="Segoe UI Symbol" w:hAnsi="Segoe UI Symbol"/>
        </w:rPr>
        <w:t xml:space="preserve">☐  </w:t>
      </w:r>
      <w:r>
        <w:rPr>
          <w:b/>
        </w:rPr>
        <w:t xml:space="preserve">19.4  </w:t>
      </w:r>
      <w:r>
        <w:rPr>
          <w:b/>
        </w:rPr>
        <w:t xml:space="preserve">Health-care covenants inside the safe harbor</w:t>
      </w:r>
      <w:r>
        <w:t xml:space="preserve"> — Required (MUST)</w:t>
      </w:r>
    </w:p>
    <w:p>
      <w:pPr>
        <w:spacing w:before="0" w:after="120"/>
        <w:ind w:left="540"/>
      </w:pPr>
      <w:r>
        <w:t xml:space="preserve">A covenant restricting a covered health-care provider must stay inside the statutory safe harbor: a written agreement signed by the provider, a duration of two years or less, and a territory no larger than the greater of a ten-mile radius from the primary practice site or that site's county. The statute covers providers licensed under the listed chapters of Title 63 — a class running well beyond physicians — and a covenant tied to the purchase or sale of a provider's practice gets a rebuttable presumption that its agreed duration and area are reasonable. Staying inside the harbor settles time and area only; the protectable-interest threshold still applies. </w:t>
      </w:r>
    </w:p>
    <w:p>
      <w:pPr>
        <w:keepNext/>
        <w:spacing w:before="200" w:after="80"/>
      </w:pPr>
      <w:r>
        <w:rPr>
          <w:rFonts w:ascii="Segoe UI Symbol" w:hAnsi="Segoe UI Symbol"/>
        </w:rPr>
        <w:t xml:space="preserve">☐  </w:t>
      </w:r>
      <w:r>
        <w:rPr>
          <w:b/>
        </w:rPr>
        <w:t xml:space="preserve">19.5  </w:t>
      </w:r>
      <w:r>
        <w:rPr>
          <w:b/>
        </w:rPr>
        <w:t xml:space="preserve">No non-compete for emergency medicine</w:t>
      </w:r>
      <w:r>
        <w:t xml:space="preserve"> — Prohibited (MUST NOT)</w:t>
      </w:r>
    </w:p>
    <w:p>
      <w:pPr>
        <w:spacing w:before="0" w:after="120"/>
        <w:ind w:left="540"/>
      </w:pPr>
      <w:r>
        <w:t xml:space="preserve">Do not accept a non-compete against a physician who specializes in emergency medicine. The safe-harbor statute excludes them by its own terms, and the controlling default fills the gap: except where specifically prescribed by statute, physician covenants not to compete are unenforceable and void. No duration, radius, or pay level rehabilitates the clause — strike it and rely on the confidentiality and non-solicit covenants instead. </w:t>
      </w:r>
    </w:p>
    <w:p>
      <w:pPr>
        <w:keepNext/>
        <w:spacing w:before="200" w:after="80"/>
      </w:pPr>
      <w:r>
        <w:rPr>
          <w:rFonts w:ascii="Segoe UI Symbol" w:hAnsi="Segoe UI Symbol"/>
        </w:rPr>
        <w:t xml:space="preserve">☐  </w:t>
      </w:r>
      <w:r>
        <w:rPr>
          <w:b/>
        </w:rPr>
        <w:t xml:space="preserve">19.6  </w:t>
      </w:r>
      <w:r>
        <w:rPr>
          <w:b/>
        </w:rPr>
        <w:t xml:space="preserve">Non-solicits and NDAs stay true to their label</w:t>
      </w:r>
      <w:r>
        <w:t xml:space="preserve"> — Avoid (SHOULD NOT)</w:t>
      </w:r>
    </w:p>
    <w:p>
      <w:pPr>
        <w:spacing w:before="0" w:after="120"/>
        <w:ind w:left="540"/>
      </w:pPr>
      <w:r>
        <w:t xml:space="preserve">The 2026 statute preserves confidentiality and nondisclosure agreements, customer non-solicits, and employee non-solicits from its non-compete rules — but the preservation follows substance, not headings. A clause labeled a non-solicit or NDA that effectively bars the worker from competing at all invites the same reasonableness scrutiny as an express non-compete and, against a below-threshold employee, the same voidness exposure under the $70,000 bar. Check that each preserved covenant stays tied to genuine confidential information, customers actually served, or colleagues actually worked with. </w:t>
      </w:r>
    </w:p>
    <w:p>
      <w:pPr>
        <w:spacing w:before="360" w:after="0"/>
      </w:pPr>
      <w:r>
        <w:rPr>
          <w:color w:val="666666"/>
          <w:sz w:val="16"/>
          <w:szCs w:val="16"/>
        </w:rPr>
        <w:t xml:space="preserve">Steven Obiajulu, J.D. edits this review checklist for Tennessee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