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Virginia</w:t>
      </w:r>
    </w:p>
    <w:p>
      <w:pPr>
        <w:spacing w:before="0" w:after="120"/>
      </w:pPr>
      <w:r>
        <w:rPr>
          <w:i/>
          <w:color w:val="444444"/>
        </w:rPr>
        <w:t xml:space="preserve">A clause-by-clause reviewer checklist for Virginia employee restrictive covenant agreements — confidentiality, non-solicits, non-competes, and non-disparagement under Va. Code § 40.1-28.7:8's low-wage ban and Virginia's strict common-law reasonableness test.</w:t>
      </w:r>
    </w:p>
    <w:p>
      <w:pPr>
        <w:spacing w:before="0" w:after="240"/>
      </w:pPr>
      <w:r>
        <w:rPr>
          <w:color w:val="666666"/>
          <w:sz w:val="18"/>
          <w:szCs w:val="18"/>
        </w:rPr>
        <w:t xml:space="preserve">By Steven Obiajulu, J.D. Last reviewed 2026-06-11. License: CC BY 4.0. https://openagreements.org/checklists/non-compete/us/virginia</w:t>
      </w:r>
    </w:p>
    <w:p>
      <w:pPr>
        <w:keepNext/>
        <w:spacing w:before="360" w:after="160"/>
      </w:pPr>
      <w:r>
        <w:rPr>
          <w:b/>
          <w:sz w:val="28"/>
          <w:szCs w:val="28"/>
        </w:rPr>
        <w:t xml:space="preserve">1. Parties and cover-term identification</w:t>
      </w:r>
    </w:p>
    <w:p>
      <w:pPr>
        <w:spacing w:before="0" w:after="120"/>
      </w:pPr>
      <w:r>
        <w:t xml:space="preserve">Review every item below the way a Virginia court would: first ask whether Va. Code § 40.1-28.7:8 bans the covenant for this worker outright, and only then test the survivors against a strict reasonableness standard the employer must carry — with no court rescue for language drafted too broadly. For the question-by-question legal analysis behind these items, see the </w:t>
      </w:r>
      <w:r>
        <w:t xml:space="preserve">Virginia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and pays the worker. Virginia's ban runs against the employer that enters into, enforces, or even threatens to enforce the covenant, and the worker's protected status turns on earnings and overtime eligibility in that specific relationship — a covenant papered with a parent or staffing affiliate muddies both questions at once.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picks the regime. Covenants signed from July 1, 2025 face a protected class that includes every overtime-eligible employee regardless of pay, and agreements entered into, amended, or renewed before July 1, 2026 sit outside the new severance rule while anything after falls inside it. An undated Virginia covenant leaves its own governing law indeterminate.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but treat it as evidence rather than a gate. Virginia's statutory screen runs on average weekly earnings and federal overtime eligibility, not job labels — a senior-sounding title on a non-exempt worker buys no protection — while the role's actual duties feed the function analysis every Virginia non-compete must later survive.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stated, because the selection decides which body of restrictive-covenant law applies. For a Virginia workforce that means the dual-track analysis on this page; a form that names another state for workers living and working in Virginia deserves scrutiny as an attempted detour around the statute rather than a drafting convenience.</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what Virginia actually preserves: nondisclosure obligations aimed at the taking, misappropriating, or sharing of trade secrets and proprietary or confidential information. A definition so broad that it operates as a lid on ordinary competition drifts out of that safe harbor and toward the territory the statute polices.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Match the contractual definition to Virginia's statutory one: information with independent economic value from not being generally known, kept under reasonable secrecy efforts. A definition that sweeps in public or freely shared material weakens the one alternative protection Virginia law most clearly endorses.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covenant's clock auditable — and remember that Virginia never reads duration in isolation. The court weighs function, geography, and duration together, so a modest period cannot redeem an immodest scope.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worker actually operated or where the employer genuinely competes. Then verify the other elements pull their weight too: Virginia's leading cases hold that tight geography and duration cannot save a function clause that is clearly too broad.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dealt with during a stated look-back window — and check the definition against Virginia's statutory line: a covenant cannot stop a protected worker from serving a customer the worker neither contacted first nor solicited. A definition that captures walk-in business crosses that line.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In Virginia the class definition may not even be the main event: the Court of Appeals has read the statute to block enforcement of an employee non-solicit against a protected worker entirely, so a tight definition only helps where the worker falls outside the protected class.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the trial record in mind. The employer carries the burden of showing each restraint is no greater than necessary to protect a legitimate business interest, not unduly harsh on the worker's livelihood, and consistent with public policy — and a recital that just gestures at goodwill gives that burden nothing to stand 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in terms of what the employer concretely does. Virginia struck a covenant whose similar-business wording reached enterprises unrelated to the employer's specialized niche — overreach in this definition is a classic way an otherwise careful Virginia covenant fails whole.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percentage. A clause that technically forbids holding index funds or ordinary public shares is gratuitous harshness on the worker's side of the ledger — exactly the prong of the Virginia test the employer least wants to litigate.</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requirement — many agreements simply inline the carve-out. If the defined term appears, confirm its ownership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Virginia's statute draws exactly that line for protected workers — service to a customer the worker did not approach stays lawful — and the Court of Appeals upheld a restriction precisely because it targeted the worker's own outreach to former customers. A definition that also captures passively received inquiries erases the distinction that keeps the clause alive.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the same way — and that it distinguishes cause from no-cause. After July 1, 2026 the manner of termination carries money consequences in Virginia, so the definition that starts every clock cannot be vague about who ended the relationship or why.</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Document the signing date relative to the start of employment and what consideration moved — Virginia's staged authorities do not settle whether continued employment alone suffices for a mid-employment covenant, so a clean record is the cheap hedge. For post-June 2026 agreements, the acknowledgement should also capture any monetary compensation disclosed up front, because that disclosed compensation is what keeps the covenant alive after a termination without cause.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Virginia statute requires it, but the acknowledgement is cheap procedural-fairness evidence in a state whose courts construe every ambiguity in the worker's favor. It reads best alongside a genuine review window rather than a signature demanded on day one.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run as long as secrecy does, because that is how Virginia defines the right: status as a trade secret depends on continued economic value from secrecy and ongoing reasonable efforts to maintain it. A fixed expiry on trade-secret protection quietly concedes the secrecy element on a schedule.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two-track structure keeps the perpetual obligation where Virginia law clearly supports it — statutorily preserved nondisclosure aimed at trade secrets and proprietary information — and stops the residual clause from looking like an indefinite restraint on working with what the employee knows.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Virginia: an agreement governing trade secrets or confidential information must carry the immunity notice, or the employer forfeits exemplary damages and attorney fees in a later federal trade-secret suit against the worker. In a state that pushes employers toward trade-secret protection instead of broad covenants, those remedies are worth keeping.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every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outrun a subpoena, and a clause that pretends otherwise hands the worker an easy overbreadth argument in a state that construes restraints against the drafter.</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Virginia steers employers toward trade-secret remedies rather than broad work bans, the certification is often the most useful page in the file: it is contemporaneous evidence of what the worker kept or gave back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but in Virginia, screen the worker before evaluating the clause. The Court of Appeals has read the statute to block enforcement of an employee no-poach against a protected worker, so for low-wage or overtime-eligible employees this covenant may be dead on arrival no matter how narrowly it is drafted.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The covenant with the clearest lane in Virginia — provided it stays in that lane. A restriction confined to the worker's own outreach to former customers survives even for a protected worker, while anything reaching customer-initiated business runs into the statutory carve-out. Check the verbs: solicit and initiate, not serve or accept.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which is precisely the conduct Virginia's statute protects for covered workers: a customer who approaches the former employee can give that employee its business. Treat a non-dealing clause aimed at any protected worker as presumptively broken, and one aimed at exempt staff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Two doors must open before a Virginia non-compete works. First the statute: no entering into, enforcing, or threatening to enforce against a low-wage employee — run the Virginia statutory gates at the end of this checklist before reading further. Then the common law: the employer must prove the restraint reasonable on every prong, with the covenant strictly construed against it.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an open-ended competitive-business definition. Virginia has already shown what happens to the alternative: similar-business language that swept in unrelated enterprises rendered the covenant unenforceable, with no court trimming it back.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de minimis floor reads as unduly harsh in a state whose test expressly weighs the burden on the worker's livelihood.</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Virginia included.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Virginia's incoming rule plainly: legislation effective July 1, 2026 categorically bans non-competes for almost all health care professionals, with the covered class reaching anyone licensed, registered, or certified by the Boards of Medicine, Nursing, Counseling, Optometry, Psychology, or Social Work. For these workers no pay level buys the covenant back, so the clause should disclaim the non-compete rather than dress it up.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the intake side it does double duty in Virginia: an incoming covenant signed elsewhere may be unenforceable against a worker the statute now protects, and the representation forces that conversation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Virginia hazard attached: the statute prohibits even threatening to enforce a covenant against a protected worker, and a violation carries a five-figure civil penalty. A warning letter to a new employer premised on a covenant the statute voids is a threat in slow motion — condition any notice provision on a covenant that actually survives the statutory gates.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unsettled Virginia law rather than a standard remedy. No staged Virginia authority decides tolling, and the backdrop cuts against it: covenants are strictly construed as restraints of trade, and a clause that can stretch the restricted period indefinitely hands the worker a ready-made overbreadth argument.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calibrate expectations: Virginia enforceability is rarely decided on the pleadings, because restraints are neither enforceable nor unenforceable in a factual vacuum. The employer will need an evidentiary record, not just a recital.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but note that Virginia's statute already shifts fees one way: a protected worker who proves a violation recovers reasonable costs, expert fees, and attorney fees from the employer. A one-sided employer fee clause sits awkwardly next to that regime; check that any fee-shifting is mutual and prevailing-party based.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court rescue for overbroad terms</w:t>
      </w:r>
      <w:r>
        <w:t xml:space="preserve"> — Avoid (SHOULD NOT)</w:t>
      </w:r>
    </w:p>
    <w:p>
      <w:pPr>
        <w:spacing w:before="0" w:after="120"/>
        <w:ind w:left="540"/>
      </w:pPr>
      <w:r>
        <w:t xml:space="preserve">Read the severability clause as a risk signal, not a safety net. Virginia courts strictly construe restrictive covenants, resolve ambiguity in the worker's favor, and will not narrow clear language to save it — the employer is stuck defending the words it chose, and clear overbreadth in one element can sink the entire restraint. An agreement that drafts broad and banks on judicial trimming is betting the covenant on a rescue Virginia does not perform; prefer separable covenants, each sized to a provable interest from the outset.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trade-secret obligations can run while secrecy lasts, and every other restraint needs its own stated end date. In Virginia the discipline matters because the covenants are tested one by one: a customer clause drafted to the statutory line can survive while a broad non-compete fails, but only if their durations and triggers are not fused into a single bundled survival sentence.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Remember what assignment cannot do in Virginia: a successor enforcing against a protected worker inherits the statutory bar along with the contract, and a successor enforcing against anyone else inherits the burden of justifying the original language as written.</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The clause should name governing law, venue, and dispute process. For a Virginia workforce, name Virginia: the staged authorities identify no statutory override of a foreign choice-of-law clause, but a selection designed to sidestep the low-wage ban for workers living and working in Virginia invites a public-policy challenge and signals a form that was never localized.</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Virginia trap inside: the July 2026 severance rule reaches agreements entered into, amended, or renewed on or after July 1, 2026 — so a routine amendment or renewal of an older covenant pulls it into the new regime. Review the amendment mechanics so a comp refresh does not quietly re-paper the covenant without the severance economics the new law demands. </w:t>
      </w:r>
    </w:p>
    <w:p>
      <w:pPr>
        <w:keepNext/>
        <w:spacing w:before="360" w:after="160"/>
      </w:pPr>
      <w:r>
        <w:rPr>
          <w:b/>
          <w:sz w:val="28"/>
          <w:szCs w:val="28"/>
        </w:rPr>
        <w:t xml:space="preserve">19. Virginia statutory gates (Va. Code § 40.1-28.7:8 and the 2026 changes)</w:t>
      </w:r>
    </w:p>
    <w:p>
      <w:pPr>
        <w:spacing w:before="0" w:after="120"/>
      </w:pPr>
      <w:r>
        <w:t xml:space="preserve">The eight items below exist only on this Virginia page: they implement the statute's low-wage and overtime-eligible bans, its protected-worker carve-outs, the posting obligation, the function-first common-law rule, and the two changes arriving July 1, 2026.</w:t>
      </w:r>
    </w:p>
    <w:p>
      <w:pPr>
        <w:keepNext/>
        <w:spacing w:before="200" w:after="80"/>
      </w:pPr>
      <w:r>
        <w:rPr>
          <w:rFonts w:ascii="Segoe UI Symbol" w:hAnsi="Segoe UI Symbol"/>
        </w:rPr>
        <w:t xml:space="preserve">☐  </w:t>
      </w:r>
      <w:r>
        <w:rPr>
          <w:b/>
        </w:rPr>
        <w:t xml:space="preserve">19.1  </w:t>
      </w:r>
      <w:r>
        <w:rPr>
          <w:b/>
        </w:rPr>
        <w:t xml:space="preserve">No non-compete for low-wage workers</w:t>
      </w:r>
      <w:r>
        <w:t xml:space="preserve"> — Prohibited (MUST NOT)</w:t>
      </w:r>
    </w:p>
    <w:p>
      <w:pPr>
        <w:spacing w:before="0" w:after="120"/>
        <w:ind w:left="540"/>
      </w:pPr>
      <w:r>
        <w:t xml:space="preserve">A non-compete cannot be entered into, enforced, or even threatened against a low-wage employee — for 2026, anyone averaging less than $1,507.01 per week, a class that also sweeps in interns, students, apprentices, and trainees and lower-paid independent contractors, while excluding workers paid mostly through sales commissions, incentives, or bonuses. Run the worker's pay math before reading a single covenant term. </w:t>
      </w:r>
      <w:r>
        <w:t xml:space="preserve"> The downside is concrete: a covered worker has a two-year window to sue, the court can void the covenant and award liquidated damages, lost compensation, damages, and fees, and each violation draws a $10,000 civil penalty. </w:t>
      </w:r>
    </w:p>
    <w:p>
      <w:pPr>
        <w:keepNext/>
        <w:spacing w:before="200" w:after="80"/>
      </w:pPr>
      <w:r>
        <w:rPr>
          <w:rFonts w:ascii="Segoe UI Symbol" w:hAnsi="Segoe UI Symbol"/>
        </w:rPr>
        <w:t xml:space="preserve">☐  </w:t>
      </w:r>
      <w:r>
        <w:rPr>
          <w:b/>
        </w:rPr>
        <w:t xml:space="preserve">19.2  </w:t>
      </w:r>
      <w:r>
        <w:rPr>
          <w:b/>
        </w:rPr>
        <w:t xml:space="preserve">No non-compete for overtime-eligible workers</w:t>
      </w:r>
      <w:r>
        <w:t xml:space="preserve"> — Prohibited (MUST NOT)</w:t>
      </w:r>
    </w:p>
    <w:p>
      <w:pPr>
        <w:spacing w:before="0" w:after="120"/>
        <w:ind w:left="540"/>
      </w:pPr>
      <w:r>
        <w:t xml:space="preserve">For covenants signed from July 1, 2025, the protected class also includes every employee entitled to federal overtime pay — regardless of how much they earn. Check FLSA exemption status as its own gate: a well-paid non-exempt employee is protected even though their earnings clear the weekly threshold, and a misclassification mistake becomes a non-compete violation at the same time. </w:t>
      </w:r>
    </w:p>
    <w:p>
      <w:pPr>
        <w:keepNext/>
        <w:spacing w:before="200" w:after="80"/>
      </w:pPr>
      <w:r>
        <w:rPr>
          <w:rFonts w:ascii="Segoe UI Symbol" w:hAnsi="Segoe UI Symbol"/>
        </w:rPr>
        <w:t xml:space="preserve">☐  </w:t>
      </w:r>
      <w:r>
        <w:rPr>
          <w:b/>
        </w:rPr>
        <w:t xml:space="preserve">19.3  </w:t>
      </w:r>
      <w:r>
        <w:rPr>
          <w:b/>
        </w:rPr>
        <w:t xml:space="preserve">Customer-initiated business stays open</w:t>
      </w:r>
      <w:r>
        <w:t xml:space="preserve"> — Prohibited (MUST NOT)</w:t>
      </w:r>
    </w:p>
    <w:p>
      <w:pPr>
        <w:spacing w:before="0" w:after="120"/>
        <w:ind w:left="540"/>
      </w:pPr>
      <w:r>
        <w:t xml:space="preserve">No covenant binding a protected worker may stop that worker from serving a customer the worker neither approached nor solicited — the carve-out is written into the statutory definition itself. The Court of Appeals read the line from both sides: a bar on the worker's own direct solicitation survives, while customer-initiated business stays open to the worker. Audit every customer-facing clause for verbs that reach passive acceptance. </w:t>
      </w:r>
    </w:p>
    <w:p>
      <w:pPr>
        <w:keepNext/>
        <w:spacing w:before="200" w:after="80"/>
      </w:pPr>
      <w:r>
        <w:rPr>
          <w:rFonts w:ascii="Segoe UI Symbol" w:hAnsi="Segoe UI Symbol"/>
        </w:rPr>
        <w:t xml:space="preserve">☐  </w:t>
      </w:r>
      <w:r>
        <w:rPr>
          <w:b/>
        </w:rPr>
        <w:t xml:space="preserve">19.4  </w:t>
      </w:r>
      <w:r>
        <w:rPr>
          <w:b/>
        </w:rPr>
        <w:t xml:space="preserve">No employee no-poach for protected workers</w:t>
      </w:r>
      <w:r>
        <w:t xml:space="preserve"> — Avoid (SHOULD NOT)</w:t>
      </w:r>
    </w:p>
    <w:p>
      <w:pPr>
        <w:spacing w:before="0" w:after="120"/>
        <w:ind w:left="540"/>
      </w:pPr>
      <w:r>
        <w:t xml:space="preserve">Skip the employee non-solicit for any worker the statute protects. The Court of Appeals held the statute prevented enforcement of a covenant barring a departed protected worker from recruiting former colleagues — an unpublished memorandum opinion with limited precedential weight, but the only Virginia appellate reading on point. Treat the clause as presumptively unenforceable for protected workers until published authority says otherwise. </w:t>
      </w:r>
    </w:p>
    <w:p>
      <w:pPr>
        <w:keepNext/>
        <w:spacing w:before="200" w:after="80"/>
      </w:pPr>
      <w:r>
        <w:rPr>
          <w:rFonts w:ascii="Segoe UI Symbol" w:hAnsi="Segoe UI Symbol"/>
        </w:rPr>
        <w:t xml:space="preserve">☐  </w:t>
      </w:r>
      <w:r>
        <w:rPr>
          <w:b/>
        </w:rPr>
        <w:t xml:space="preserve">19.5  </w:t>
      </w:r>
      <w:r>
        <w:rPr>
          <w:b/>
        </w:rPr>
        <w:t xml:space="preserve">Statute posted with employee notices</w:t>
      </w:r>
      <w:r>
        <w:t xml:space="preserve"> — Required (MUST)</w:t>
      </w:r>
    </w:p>
    <w:p>
      <w:pPr>
        <w:spacing w:before="0" w:after="120"/>
        <w:ind w:left="540"/>
      </w:pPr>
      <w:r>
        <w:t xml:space="preserve">Ask for a photo of the break-room wall, not just the contract file: every Virginia employer must post a copy of the statute or an approved summary wherever its other required employee notices hang. The posting is a compliance artifact that travels with the covenant program — an employer relying on the statute's boundaries while skipping its posting duty starts the dispute a step behind. </w:t>
      </w:r>
    </w:p>
    <w:p>
      <w:pPr>
        <w:keepNext/>
        <w:spacing w:before="200" w:after="80"/>
      </w:pPr>
      <w:r>
        <w:rPr>
          <w:rFonts w:ascii="Segoe UI Symbol" w:hAnsi="Segoe UI Symbol"/>
        </w:rPr>
        <w:t xml:space="preserve">☐  </w:t>
      </w:r>
      <w:r>
        <w:rPr>
          <w:b/>
        </w:rPr>
        <w:t xml:space="preserve">19.6  </w:t>
      </w:r>
      <w:r>
        <w:rPr>
          <w:b/>
        </w:rPr>
        <w:t xml:space="preserve">No any-capacity work ban</w:t>
      </w:r>
      <w:r>
        <w:t xml:space="preserve"> — Avoid (SHOULD NOT)</w:t>
      </w:r>
    </w:p>
    <w:p>
      <w:pPr>
        <w:spacing w:before="0" w:after="120"/>
        <w:ind w:left="540"/>
      </w:pPr>
      <w:r>
        <w:t xml:space="preserve">Strike or rewrite any clause that bars the worker from serving a competitor in any capacity. Virginia's test asks whether the restraint exceeds what the employer's legitimate interest requires, with the employer carrying the burden — and the leading case held that an unconfined function element forced the employer to justify prohibiting every conceivable role at a competitor, a burden it could not carry. Tie the function to the job the worker actually did. </w:t>
      </w:r>
    </w:p>
    <w:p>
      <w:pPr>
        <w:keepNext/>
        <w:spacing w:before="200" w:after="80"/>
      </w:pPr>
      <w:r>
        <w:rPr>
          <w:rFonts w:ascii="Segoe UI Symbol" w:hAnsi="Segoe UI Symbol"/>
        </w:rPr>
        <w:t xml:space="preserve">☐  </w:t>
      </w:r>
      <w:r>
        <w:rPr>
          <w:b/>
        </w:rPr>
        <w:t xml:space="preserve">19.7  </w:t>
      </w:r>
      <w:r>
        <w:rPr>
          <w:b/>
        </w:rPr>
        <w:t xml:space="preserve">Severance or disclosed pay if fired without cause</w:t>
      </w:r>
      <w:r>
        <w:t xml:space="preserve"> — Required (MUST)</w:t>
      </w:r>
    </w:p>
    <w:p>
      <w:pPr>
        <w:spacing w:before="0" w:after="120"/>
        <w:ind w:left="540"/>
      </w:pPr>
      <w:r>
        <w:t xml:space="preserve">For agreements entered into, amended, or renewed on or after July 1, 2026, the non-compete needs a funded exit: it is unenforceable if the employer terminates without cause and the worker receives neither severance pay nor other monetary compensation disclosed in advance. Verify the agreement states the without-cause economics on its face — compensation invented at termination was not disclosed in advance. Older agreements stay outside the rule until amended or renewed. </w:t>
      </w:r>
    </w:p>
    <w:p>
      <w:pPr>
        <w:keepNext/>
        <w:spacing w:before="200" w:after="80"/>
      </w:pPr>
      <w:r>
        <w:rPr>
          <w:rFonts w:ascii="Segoe UI Symbol" w:hAnsi="Segoe UI Symbol"/>
        </w:rPr>
        <w:t xml:space="preserve">☐  </w:t>
      </w:r>
      <w:r>
        <w:rPr>
          <w:b/>
        </w:rPr>
        <w:t xml:space="preserve">19.8  </w:t>
      </w:r>
      <w:r>
        <w:rPr>
          <w:b/>
        </w:rPr>
        <w:t xml:space="preserve">No non-competes for health-care professionals</w:t>
      </w:r>
      <w:r>
        <w:t xml:space="preserve"> — Prohibited (MUST NOT)</w:t>
      </w:r>
    </w:p>
    <w:p>
      <w:pPr>
        <w:spacing w:before="0" w:after="120"/>
        <w:ind w:left="540"/>
      </w:pPr>
      <w:r>
        <w:t xml:space="preserve">From July 1, 2026, no non-compete may bind almost any health care professional — the covered class reaches anyone licensed, registered, or certified by the Boards of Medicine, Nursing, Counseling, Optometry, Psychology, or Social Work, and unlike the low-wage analysis, no earnings level restores the covenant. For agreements signed before that date, analyze the professional like any other Virginia worker: statutory ban first, then the common-law test. </w:t>
      </w:r>
    </w:p>
    <w:p>
      <w:pPr>
        <w:spacing w:before="360" w:after="0"/>
      </w:pPr>
      <w:r>
        <w:rPr>
          <w:color w:val="666666"/>
          <w:sz w:val="16"/>
          <w:szCs w:val="16"/>
        </w:rPr>
        <w:t xml:space="preserve">Steven Obiajulu, J.D. edits this review checklist for Virginia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