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Washington</w:t>
      </w:r>
    </w:p>
    <w:p>
      <w:pPr>
        <w:spacing w:before="0" w:after="120"/>
      </w:pPr>
      <w:r>
        <w:rPr>
          <w:i/>
          <w:color w:val="444444"/>
        </w:rPr>
        <w:t xml:space="preserve">A clause-by-clause reviewer checklist for Washington employee restrictive covenant agreements — earnings thresholds, disclosure and consideration timing, layoff pay, and the 2027 ban under chapter 49.62 RCW.</w:t>
      </w:r>
    </w:p>
    <w:p>
      <w:pPr>
        <w:spacing w:before="0" w:after="240"/>
      </w:pPr>
      <w:r>
        <w:rPr>
          <w:color w:val="666666"/>
          <w:sz w:val="18"/>
          <w:szCs w:val="18"/>
        </w:rPr>
        <w:t xml:space="preserve">By Steven Obiajulu, J.D. Last reviewed 2026-06-11. License: CC BY 4.0. https://openagreements.org/checklists/non-compete/us/washington</w:t>
      </w:r>
    </w:p>
    <w:p>
      <w:pPr>
        <w:keepNext/>
        <w:spacing w:before="360" w:after="160"/>
      </w:pPr>
      <w:r>
        <w:rPr>
          <w:b/>
          <w:sz w:val="28"/>
          <w:szCs w:val="28"/>
        </w:rPr>
        <w:t xml:space="preserve">1. Parties and cover-term identification</w:t>
      </w:r>
    </w:p>
    <w:p>
      <w:pPr>
        <w:spacing w:before="0" w:after="120"/>
      </w:pPr>
      <w:r>
        <w:t xml:space="preserve">Every item below reads the agreement the way chapter 49.62 RCW does — as a list of statutory conditions where missing any one voids the covenant, with a penalty for overreach and a near-total ban arriving June 30, 2027. For the question-by-question legal analysis behind these items, see the </w:t>
      </w:r>
      <w:r>
        <w:t xml:space="preserve">Washington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Match the employer entity on the cover page to the entity that actually pays the worker. Washington measures the earnings threshold from the party seeking enforcement, so a covenant signed with a parent or affiliate that pays nothing may be unable to make the threshold showing at all.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Date the instrument precisely. Covenants entered into now run under chapter 49.62 RCW as amended in 2024, and the date also fixes how much runway remains before the June 30, 2027 ban — which reaches the covenant whenever it was signed.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even though Washington gates enforceability on pay rather than position. Duties still feed the reasonableness review that runs alongside the statute, and a recorded title plus compensation makes both inquiries answerable from the document.</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Confirm the named state is Washington for a Washington-based worker. The statute voids any provision applying another state's substantive law to the covenant, so a foreign selection is not a drafting preference here — it is a void term.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Confidentiality agreements sit outside Washington's statutory definition of a non-compete, so keep this definition genuinely information-shaped. A definition broad enough to function as a restraint on working — sweeping in general skills or whole fields of activity — risks being read as the covenant the exclusion does not protect.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Define trade secrets on their own. Covenants protecting trade secrets are expressly excluded from non-compete treatment in Washington, and a standalone definition keeps that protected lane separate from the time-limited confidentiality obligations.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umbrella defined term lets you audit every covenant clock against Washington's eighteen-month presumption in a single pass. Stray per-clause durations are how a nineteen-month tail slips in and hands the worker a presumption of unenforceability.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The statute says nothing about geography, but the common-law test that survives alongside it enforces a restraint only to the extent reasonable and necessary — and in Washington a court that narrows an overbroad territory charges the employer for the privilege. Tie the territory to where the worker actually operated.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current customers the worker actually dealt with. In Washington the drafting trap is functional: a customer class wide enough that the clause effectively forbids doing business — not just soliciting — converts the clause into a non-compete with all the statutory conditions attached.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within the statutory exclusion, which protects only agreements against soliciting the employer's employees to leave. A class or verb set that reaches further — hiring bans, all-personnel coverage — moves the clause out of the safe definition.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Spell out the business and goodwill interests the covenants serve. If the employer ever needs a restricted period longer than eighteen months, the statute demands clear and convincing proof that the longer term protects business or goodwill — this definition is where that record starts.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actual competing activity narrowly. Washington defines a noncompetition covenant as anything restraining a worker from a lawful profession, trade, or business of any kind — the broader this definition, the more of the agreement that statutory machinery reaches.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of competitors is restricted, check for a passive-holdings carve-out below a stated threshold. A clause that technically bars index funds and ordinary public shares restrains far more than any legitimate interest requires — and in Washington a court trimming that excess triggers the statutory penalty against the employer. </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An optional drafting mechanic — many agreements inline the carve-out language without a capitalized term. Where the defined term exists, verify its percentage threshold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In Washington this definition has a hard statutory edge: solicitation the worker initiates can be restrained, but a definition that also captures accepting or transacting business a customer brings is, by statute, a non-compete in disguise. Confirm the term stops at outreach.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Make the trigger unambiguous across resignation, dismissal, and expiration of a fixed term. The separation date does double duty in Washington — it starts the restricted period and it is one of the two dates on which the threshold earnings are annualized.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This recital carries statutory weight in Washington. For an at-hire covenant it should record that the terms were disclosed in writing no later than offer acceptance; for a post-hire covenant it should identify the independent consideration exchanged — each is a void-unless condition, and the acknowledgement is where the proof lives.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Washington statute conditions enforcement on counsel-advisal, but the acknowledgement is inexpensive fairness evidence in a regime where the employer may someday need to carry a clear-and-convincing burden. It also blunts any later narrative that the covenant was sprung on the worker.</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last as long as secrecy does — that is how federal law defines the right, and Washington expressly excludes trade-secret covenants from its non-compete restrictions, so the open-ended duration costs nothing under chapter 49.62 RCW. A fixed end date surrenders statutory protection for no benefit.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The statutory exclusion shields confidentiality agreements, not open-ended restraints wearing the label — a perpetual obligation over non-secret information is the kind of overreach that invites a court to treat the clause as something other than a confidentiality agreement.</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requires this notice in Washington agreements like everywhere else. Omitting it costs the employer exemplary damages and attorney fees in any later trade-secret action against the worker — a forfeiture no Washington-specific drafting can recover.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Confirm confidentiality and non-disparagement language yields to discussion of wages, hours, and working conditions. Federal labor law protects that speech regardless of what chapter 49.62 RCW says, and the Board strikes clauses that chill it.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Verify the carve-out for disclosure compelled by law, court order, or a government investigation, with notice to the employer where lawful. No contract outranks a subpoena; the carve-out keeps the worker from being trapped between obligations.</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Return-or-destroy at separation, certified in writing. In a state where the non-compete itself may be void on threshold or timing grounds — and disappears entirely in 2027 — the confidentiality-and-return machinery is the protection most likely to still be standing, so the certification deserves a careful read rather than a skim.</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in Washington the safest covenant in the family — but only inside the statutory definition, which covers soliciting the employer's employees to leave. Watch the franchise context separately: a franchisor cannot restrain a franchisee from soliciting or hiring the franchisor's or another franchisee's workers.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When present, confirm it reaches only current customers and only solicitation. And check the term against the coming narrowing: from June 30, 2027 the exclusion protects the clause only where the worker substantially developed a direct customer relationship and the restriction ends within eighteen months of termination.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In Washington a non-dealing clause is not a cautious middle option — an agreement that directly or indirectly prohibits accepting or transacting business with a customer is, by statute, a non-compete. If this clause appears, every condition in the Washington gates section below applies to it.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 Washington non-compete is void unless the employer clears every statutory condition — disclosure or consideration, the earnings threshold, layoff pay — and the legislature has already scheduled the clause's extinction for June 30, 2027. If it appears, route the review through the Washington statutory gates at the end of this checklist before anything else.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A named-competitor list is the economically rational way to draft here. Washington courts can pare an overbroad covenant down, but the act of paring obliges the employer to pay the statutory penalty plus the worker's fees — so a scope that needs no paring is worth real money.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runs on the shared Restricted Period — and note that from 2027 the definition expands to capture provisions that force a worker to return, repay, or forfeit compensation for competing, which is exactly the mechanic some investment restraints use. </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inclusion with a stated term, and chapter 49.62 RCW leaves it alone — the legal work happens in the carve-outs. Truthful testimony, statements to government agencies, and protected workplace speech must remain outside the clause, or federal labor law treats the provision as overbroad no matter what Washington allows.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Washington draws no physician-specific line: a physician's non-compete rides the same earnings threshold and timing rules as anyone else's today, and falls under the same near-total ban in 2027. The dedicated clause should therefore state plainly which generally applicable rules govern, rather than implying a special healthcare carve-out chapter 49.62 RCW does not contain.</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Worth keeping even for Washington-based hires whose prior covenants were signed elsewhere — an inbound covenant may be unenforceable here, but the representation surfaces it before anyone has to litigate that question.</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with a Washington expiration date built in: from June 30, 2027, representing that a worker is subject to a non-compete is itself a statutory violation. A notice clause written as a standing instruction to tell new employers about the covenant becomes a liability script on that date. </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treat any Washington tolling clause as unsettled territory. The statute is silent, no controlling decision blesses extension, and a tolled period that carries the total restriction past eighteen months walks straight into the unreasonableness presumption.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Chapter 49.62 RCW supplies no presumption of irreparable injury, so this recital is most of what an enforcing employer brings to the emergency-relief hearing.</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Read any fee clause against the statutory backdrop, which already shifts fees one way: an employer whose covenant violates the chapter — or merely gets reformed — pays the worker's reasonable fees, expenses, and costs on top of the penalty. A one-way employer-favoring clause does not change that exposure.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No reliance on court narrowing</w:t>
      </w:r>
      <w:r>
        <w:t xml:space="preserve"> — Avoid (SHOULD NOT)</w:t>
      </w:r>
    </w:p>
    <w:p>
      <w:pPr>
        <w:spacing w:before="0" w:after="120"/>
        <w:ind w:left="540"/>
      </w:pPr>
      <w:r>
        <w:t xml:space="preserve">Washington courts will trim an overbroad covenant rather than void it — but trimming is a paid event. Whenever a court reforms, rewrites, modifies, or only partially enforces a covenant, the employer owes the worker the greater of actual damages or the $5,000 penalty plus fees, so read any savings clause as a record of what the overreach will cost, not a safety net. The covenant has to arrive at the courthouse already sized to the legitimate interest.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the non-compete must be auditable against the eighteen-month presumption, while the trade-secret and confidentiality obligations live outside the statute and can lawfully run longer. Bundled survival language is how those very different clocks get confused.</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and that the worker cannot assign. Washington adds an arithmetic wrinkle: the earnings threshold is measured from the party seeking enforcement, so after a transaction the reviewer should ask whether the successor entity can still make that showing for this worker. </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and venue</w:t>
      </w:r>
      <w:r>
        <w:t xml:space="preserve"> — Recommended (SHOULD)</w:t>
      </w:r>
    </w:p>
    <w:p>
      <w:pPr>
        <w:spacing w:before="0" w:after="120"/>
        <w:ind w:left="540"/>
      </w:pPr>
      <w:r>
        <w:t xml:space="preserve">For a Washington-based worker, all three answers are dictated: Washington law, Washington adjudication, full chapter 49.62 RCW protections. A clause routing the dispute to another forum or another state's law is independently void, so check this section for evasion rather than for elegance.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Washington-specific reading: there is no grandfathered status to protect or lose, because the 2027 ban voids covenants regardless of when the parties entered into them. What matters at every re-signing is fresh compliance — each new execution must independently satisfy the disclosure-or-consideration timing rules. </w:t>
      </w:r>
    </w:p>
    <w:p>
      <w:pPr>
        <w:keepNext/>
        <w:spacing w:before="360" w:after="160"/>
      </w:pPr>
      <w:r>
        <w:rPr>
          <w:b/>
          <w:sz w:val="28"/>
          <w:szCs w:val="28"/>
        </w:rPr>
        <w:t xml:space="preserve">19. Washington statutory gates (chapter 49.62 RCW)</w:t>
      </w:r>
    </w:p>
    <w:p>
      <w:pPr>
        <w:spacing w:before="0" w:after="120"/>
      </w:pPr>
      <w:r>
        <w:t xml:space="preserve">The nine items below exist only on this Washington page: they implement the void-unless conditions of RCW 49.62.020, the anti-evasion and moonlighting rules, and the June 30, 2027 ban horizon — none of which has an analogue in the jurisdiction-neutral checklist.</w:t>
      </w:r>
    </w:p>
    <w:p>
      <w:pPr>
        <w:keepNext/>
        <w:spacing w:before="200" w:after="80"/>
      </w:pPr>
      <w:r>
        <w:rPr>
          <w:rFonts w:ascii="Segoe UI Symbol" w:hAnsi="Segoe UI Symbol"/>
        </w:rPr>
        <w:t xml:space="preserve">☐  </w:t>
      </w:r>
      <w:r>
        <w:rPr>
          <w:b/>
        </w:rPr>
        <w:t xml:space="preserve">19.1  </w:t>
      </w:r>
      <w:r>
        <w:rPr>
          <w:b/>
        </w:rPr>
        <w:t xml:space="preserve">Earnings above the statutory threshold</w:t>
      </w:r>
      <w:r>
        <w:t xml:space="preserve"> — Required (MUST)</w:t>
      </w:r>
    </w:p>
    <w:p>
      <w:pPr>
        <w:spacing w:before="0" w:after="120"/>
        <w:ind w:left="540"/>
      </w:pPr>
      <w:r>
        <w:t xml:space="preserve">Verify the worker's annualized earnings from the enforcing party clear the inflation-adjusted threshold — $126,858.83 for employees and $317,147.09 for independent contractors in 2026, reset annually by the Department of Labor &amp; Industries. Below the line the covenant is void as a matter of law, and a performer's covenant with a performance space cannot exceed three calendar days regardless of pay. </w:t>
      </w:r>
    </w:p>
    <w:p>
      <w:pPr>
        <w:keepNext/>
        <w:spacing w:before="200" w:after="80"/>
      </w:pPr>
      <w:r>
        <w:rPr>
          <w:rFonts w:ascii="Segoe UI Symbol" w:hAnsi="Segoe UI Symbol"/>
        </w:rPr>
        <w:t xml:space="preserve">☐  </w:t>
      </w:r>
      <w:r>
        <w:rPr>
          <w:b/>
        </w:rPr>
        <w:t xml:space="preserve">19.2  </w:t>
      </w:r>
      <w:r>
        <w:rPr>
          <w:b/>
        </w:rPr>
        <w:t xml:space="preserve">Terms disclosed by offer acceptance</w:t>
      </w:r>
      <w:r>
        <w:t xml:space="preserve"> — Required (MUST)</w:t>
      </w:r>
    </w:p>
    <w:p>
      <w:pPr>
        <w:spacing w:before="0" w:after="120"/>
        <w:ind w:left="540"/>
      </w:pPr>
      <w:r>
        <w:t xml:space="preserve">For an at-hire covenant, confirm the terms were disclosed in writing no later than the worker's initial oral or written acceptance of the offer — an onboarding-packet covenant is too late and void. Where the worker is below the earnings threshold at signing, also confirm the specific disclosure that the agreement may become enforceable later as compensation rises. </w:t>
      </w:r>
    </w:p>
    <w:p>
      <w:pPr>
        <w:keepNext/>
        <w:spacing w:before="200" w:after="80"/>
      </w:pPr>
      <w:r>
        <w:rPr>
          <w:rFonts w:ascii="Segoe UI Symbol" w:hAnsi="Segoe UI Symbol"/>
        </w:rPr>
        <w:t xml:space="preserve">☐  </w:t>
      </w:r>
      <w:r>
        <w:rPr>
          <w:b/>
        </w:rPr>
        <w:t xml:space="preserve">19.3  </w:t>
      </w:r>
      <w:r>
        <w:rPr>
          <w:b/>
        </w:rPr>
        <w:t xml:space="preserve">New value for post-hire signing</w:t>
      </w:r>
      <w:r>
        <w:t xml:space="preserve"> — Required (MUST)</w:t>
      </w:r>
    </w:p>
    <w:p>
      <w:pPr>
        <w:spacing w:before="0" w:after="120"/>
        <w:ind w:left="540"/>
      </w:pPr>
      <w:r>
        <w:t xml:space="preserve">A covenant signed after employment begins needs independent consideration — a raise, bonus, promotion, or other identifiable new value, recited in the agreement. The state supreme court held that keeping an at-will worker on the payroll is not consideration for a new restraint, and the statute wrote that holding into the void-unless list. </w:t>
      </w:r>
    </w:p>
    <w:p>
      <w:pPr>
        <w:keepNext/>
        <w:spacing w:before="200" w:after="80"/>
      </w:pPr>
      <w:r>
        <w:rPr>
          <w:rFonts w:ascii="Segoe UI Symbol" w:hAnsi="Segoe UI Symbol"/>
        </w:rPr>
        <w:t xml:space="preserve">☐  </w:t>
      </w:r>
      <w:r>
        <w:rPr>
          <w:b/>
        </w:rPr>
        <w:t xml:space="preserve">19.4  </w:t>
      </w:r>
      <w:r>
        <w:rPr>
          <w:b/>
        </w:rPr>
        <w:t xml:space="preserve">Restricted period within eighteen months</w:t>
      </w:r>
      <w:r>
        <w:t xml:space="preserve"> — Avoid (SHOULD NOT)</w:t>
      </w:r>
    </w:p>
    <w:p>
      <w:pPr>
        <w:spacing w:before="0" w:after="120"/>
        <w:ind w:left="540"/>
      </w:pPr>
      <w:r>
        <w:t xml:space="preserve">The restricted period should not run past eighteen months after termination. Beyond that line the covenant is presumed unreasonable and unenforceable, and only clear and convincing evidence of necessity can rescue it — a burden few employers want to carry into court. Audit every covenant clock, including any tolling math, against this ceiling. </w:t>
      </w:r>
    </w:p>
    <w:p>
      <w:pPr>
        <w:keepNext/>
        <w:spacing w:before="200" w:after="80"/>
      </w:pPr>
      <w:r>
        <w:rPr>
          <w:rFonts w:ascii="Segoe UI Symbol" w:hAnsi="Segoe UI Symbol"/>
        </w:rPr>
        <w:t xml:space="preserve">☐  </w:t>
      </w:r>
      <w:r>
        <w:rPr>
          <w:b/>
        </w:rPr>
        <w:t xml:space="preserve">19.5  </w:t>
      </w:r>
      <w:r>
        <w:rPr>
          <w:b/>
        </w:rPr>
        <w:t xml:space="preserve">Layoff enforcement paid for</w:t>
      </w:r>
      <w:r>
        <w:t xml:space="preserve"> — Required (MUST)</w:t>
      </w:r>
    </w:p>
    <w:p>
      <w:pPr>
        <w:spacing w:before="0" w:after="120"/>
        <w:ind w:left="540"/>
      </w:pPr>
      <w:r>
        <w:t xml:space="preserve">If the worker is terminated in a layoff, the covenant is void unless its enforcement includes pay equal to the worker's base salary for the enforcement period, offset by what the worker earns elsewhere. Check that the agreement actually wires this in — an employer cannot lay a worker off and hold the restraint for free. </w:t>
      </w:r>
    </w:p>
    <w:p>
      <w:pPr>
        <w:keepNext/>
        <w:spacing w:before="200" w:after="80"/>
      </w:pPr>
      <w:r>
        <w:rPr>
          <w:rFonts w:ascii="Segoe UI Symbol" w:hAnsi="Segoe UI Symbol"/>
        </w:rPr>
        <w:t xml:space="preserve">☐  </w:t>
      </w:r>
      <w:r>
        <w:rPr>
          <w:b/>
        </w:rPr>
        <w:t xml:space="preserve">19.6  </w:t>
      </w:r>
      <w:r>
        <w:rPr>
          <w:b/>
        </w:rPr>
        <w:t xml:space="preserve">No out-of-state law or forum</w:t>
      </w:r>
      <w:r>
        <w:t xml:space="preserve"> — Prohibited (MUST NOT)</w:t>
      </w:r>
    </w:p>
    <w:p>
      <w:pPr>
        <w:spacing w:before="0" w:after="120"/>
        <w:ind w:left="540"/>
      </w:pPr>
      <w:r>
        <w:t xml:space="preserve">The covenant must not send a Washington-based worker out of state to litigate, strip the protections of chapter 49.62 RCW, or apply another state's law. Each of those provisions is independently void, so the familiar play of papering the workforce under a friendlier state's law simply does not work against Washington workers. </w:t>
      </w:r>
    </w:p>
    <w:p>
      <w:pPr>
        <w:keepNext/>
        <w:spacing w:before="200" w:after="80"/>
      </w:pPr>
      <w:r>
        <w:rPr>
          <w:rFonts w:ascii="Segoe UI Symbol" w:hAnsi="Segoe UI Symbol"/>
        </w:rPr>
        <w:t xml:space="preserve">☐  </w:t>
      </w:r>
      <w:r>
        <w:rPr>
          <w:b/>
        </w:rPr>
        <w:t xml:space="preserve">19.7  </w:t>
      </w:r>
      <w:r>
        <w:rPr>
          <w:b/>
        </w:rPr>
        <w:t xml:space="preserve">Non-solicits stop at solicitation</w:t>
      </w:r>
      <w:r>
        <w:t xml:space="preserve"> — Avoid (SHOULD NOT)</w:t>
      </w:r>
    </w:p>
    <w:p>
      <w:pPr>
        <w:spacing w:before="0" w:after="120"/>
        <w:ind w:left="540"/>
      </w:pPr>
      <w:r>
        <w:t xml:space="preserve">Customer and employee restraints should not reach past solicitation the worker initiates. Since 2024, a clause that directly or indirectly forbids accepting or transacting business with a customer is itself a non-compete — threshold, disclosure, layoff pay, and duration rules included — and from mid-2027 the customer prong survives only for substantially developed direct relationships restricted for no more than eighteen months. </w:t>
      </w:r>
    </w:p>
    <w:p>
      <w:pPr>
        <w:keepNext/>
        <w:spacing w:before="200" w:after="80"/>
      </w:pPr>
      <w:r>
        <w:rPr>
          <w:rFonts w:ascii="Segoe UI Symbol" w:hAnsi="Segoe UI Symbol"/>
        </w:rPr>
        <w:t xml:space="preserve">☐  </w:t>
      </w:r>
      <w:r>
        <w:rPr>
          <w:b/>
        </w:rPr>
        <w:t xml:space="preserve">19.8  </w:t>
      </w:r>
      <w:r>
        <w:rPr>
          <w:b/>
        </w:rPr>
        <w:t xml:space="preserve">Second jobs protected for lower earners</w:t>
      </w:r>
      <w:r>
        <w:t xml:space="preserve"> — Prohibited (MUST NOT)</w:t>
      </w:r>
    </w:p>
    <w:p>
      <w:pPr>
        <w:spacing w:before="0" w:after="120"/>
        <w:ind w:left="540"/>
      </w:pPr>
      <w:r>
        <w:t xml:space="preserve">No clause in the agreement — exclusivity, outside-activities, or anti-moonlighting language anywhere, not just the non-compete — may bar an employee earning less than twice the state minimum wage from a second job, contract work, or self-employment. The state supreme court reads the exceptions narrowly, so a generic full-time-and-attention clause needs an express carve-out for sub-threshold earners. </w:t>
      </w:r>
    </w:p>
    <w:p>
      <w:pPr>
        <w:keepNext/>
        <w:spacing w:before="200" w:after="80"/>
      </w:pPr>
      <w:r>
        <w:rPr>
          <w:rFonts w:ascii="Segoe UI Symbol" w:hAnsi="Segoe UI Symbol"/>
        </w:rPr>
        <w:t xml:space="preserve">☐  </w:t>
      </w:r>
      <w:r>
        <w:rPr>
          <w:b/>
        </w:rPr>
        <w:t xml:space="preserve">19.9  </w:t>
      </w:r>
      <w:r>
        <w:rPr>
          <w:b/>
        </w:rPr>
        <w:t xml:space="preserve">The 2027 ban horizon priced in</w:t>
      </w:r>
      <w:r>
        <w:t xml:space="preserve"> — Recommended (SHOULD)</w:t>
      </w:r>
    </w:p>
    <w:p>
      <w:pPr>
        <w:spacing w:before="0" w:after="120"/>
        <w:ind w:left="540"/>
      </w:pPr>
      <w:r>
        <w:t xml:space="preserve">Price every Washington non-compete against its expiration date. On June 30, 2027 the covenant becomes void no matter when it was signed, enforcing or even threatening to enforce it becomes a violation, and by October 1, 2027 the employer must make reasonable efforts to tell affected workers their covenants are void. A reviewer approving this clause today is approving at most a short-lived restraint plus a notice obligation. </w:t>
      </w:r>
    </w:p>
    <w:p>
      <w:pPr>
        <w:spacing w:before="360" w:after="0"/>
      </w:pPr>
      <w:r>
        <w:rPr>
          <w:color w:val="666666"/>
          <w:sz w:val="16"/>
          <w:szCs w:val="16"/>
        </w:rPr>
        <w:t xml:space="preserve">Steven Obiajulu, J.D. edits this review checklist for Washington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