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Wisconsin</w:t>
      </w:r>
    </w:p>
    <w:p>
      <w:pPr>
        <w:spacing w:before="0" w:after="120"/>
      </w:pPr>
      <w:r>
        <w:rPr>
          <w:i/>
          <w:color w:val="444444"/>
        </w:rPr>
        <w:t xml:space="preserve">A clause-by-clause reviewer checklist for Wisconsin employee restrictive covenant agreements — confidentiality, non-solicits, non-competes, and non-disparagement under Wis. Stat. § 103.465, where an overbroad term voids the covenant in full and no court will narrow it.</w:t>
      </w:r>
    </w:p>
    <w:p>
      <w:pPr>
        <w:spacing w:before="0" w:after="240"/>
      </w:pPr>
      <w:r>
        <w:rPr>
          <w:color w:val="666666"/>
          <w:sz w:val="18"/>
          <w:szCs w:val="18"/>
        </w:rPr>
        <w:t xml:space="preserve">By Steven Obiajulu, J.D. Last reviewed 2026-06-12. License: CC BY 4.0. https://openagreements.org/checklists/non-compete/us/wisconsin</w:t>
      </w:r>
    </w:p>
    <w:p>
      <w:pPr>
        <w:keepNext/>
        <w:spacing w:before="360" w:after="160"/>
      </w:pPr>
      <w:r>
        <w:rPr>
          <w:b/>
          <w:sz w:val="28"/>
          <w:szCs w:val="28"/>
        </w:rPr>
        <w:t xml:space="preserve">1. Parties and cover-term identification</w:t>
      </w:r>
    </w:p>
    <w:p>
      <w:pPr>
        <w:spacing w:before="0" w:after="120"/>
      </w:pPr>
      <w:r>
        <w:t xml:space="preserve">Review every item below the way a Wisconsin court would: Wis. Stat. § 103.465 enforces a covenant only when its restrictions are reasonably necessary to protect the employer, and a covenant that reaches too far on any single point is void in full — there is no judicial trimming to fall back on. For the question-by-question legal analysis behind these items, see the </w:t>
      </w:r>
      <w:r>
        <w:t xml:space="preserve">Wisconsin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who the covenant runs to. The statute governs a covenant by an assistant, servant or agent in favor of the employer or principal, so the named employer should be the entity the worker actually serves — a covenant held by some other entity invites a threshold fight over which legal framework even applies.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signing and effective dates anchor every later clock: the restricted period has to be a definite, knowable stretch of time, and the consideration analysis for a covenant signed mid-employment turns on what moved when. An undated covenant starts the review with two open questions.</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Title and duties are the first evidence on the first factor: the employer must have a protectable interest justifying a restraint on this particular worker. A form covenant pinned to a role with no access to secrets or customer relationships starts the reasonableness test already behind.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state is named — and treat an out-of-state choice covering Wisconsin work as a warning sign rather than a fix, because Wisconsin courts have refused to enforce a choice-of-law clause that conflicts with the state's policy controlling covenants not to compete.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Read the definition the way a motion to dismiss would: a confidentiality covenant that sweeps in ordinary, non-secret business information is itself a restraint subject to § 103.465 and can be held unenforceable before any evidence is heard. Scope it to material that is genuinely secret or competitively sensitive.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Track the statutory definition: information with independent economic value from not being generally known, kept secret by reasonable efforts. A definition that mirrors Wis. Stat. § 134.90 anchors the employer's most durable protection — one that does not depend on any covenant surviving the reasonableness test.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The period must read as a fixed and definite stretch of time. A definition that lets the duration float on events the employee cannot predict — breach, litigation, renewals — reproduces the exact indefiniteness that voided the covenant in the leading extension case.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A reasonable territorial limit is one of the five prerequisites, so the geography needs a defensible tie to where the worker actually operated or where the protected interest lives. An everywhere-the-company-does-business territory is a bet the court will not take — and there is no partial credit, because an unreasonable restraint is void even as to the part that would have been reasonable.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or learned protected information about during a stated look-back window. The covenant is measured as written, not as the employer would enforce it in practice, so a book-of-business definition reaching strangers to the worker puts every customer restriction at risk at once.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The state supreme court struck a clause covering every company employee as overbroad on its face, and an overbroad class does not shrink to a lawful one here.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specific interests each covenant protects — the customer relationships this worker controlled, the genuine trade secrets this role touched. The first prerequisite demands a protectable interest justifying the restriction imposed on the employee, and this definition is where that justification either shows up or does not.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competing activity concretely. A definition that swells to anything the employer might someday do reads as a restraint on working rather than a shield for a protectable interest, and no Wisconsin court will cut it down to size for the drafter.</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the agreement restricts owning or investing in competitors, look for a passive-holdings carve-out below a stated percentage. A clause that technically forbids holding ordinary public shares restricts the worker far beyond any protectable interest and feeds the harsh-or-oppressive factor of the reasonableness test. </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 many agreements inline the carve-out language without a capitalized term. If the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verb to initiating contact. A definition that also captures passively receiving an inquiry widens the restraint that the reasonableness factors measure, and breadth added here is breadth the covenant must justify everywhere else.</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the end of a fixed term the same way. The restricted period and every survival clock run from this event; ambiguity about who ended the relationship becomes ambiguity about when the restraint expires.</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For a covenant signed mid-employment, Wisconsin accepts the employer's forbearance from firing an at-will employee as lawful consideration — but the holding assumes the forbearance is genuine, and a sign-then-fire sequence invites a bad-faith fight. The acknowledgement should record when the covenant was signed and what the worker received; pairing the signature with tangible new value remains the safer course.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Worth keeping even though no Wisconsin statute requires it. The worker's leverage at signing is limited — an at-will employee fired for refusing to sign has no wrongful-discharge claim — so a documented chance to take advice is useful evidence that the covenant was not harsh or oppressive in how it was obtained.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 that is how the federal definition works, and Wisconsin's own trade-secret act keys protection to continued secrecy in the same way. A fixed expiry on trade-secret protection gives away the one obligation that never needed a covenant to survive.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 perpetual lid on non-secret information is precisely the breadth that converts a confidentiality clause into a restraint judged under § 103.465 — and one such covenant was held unenforceable at the pleadings stage.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and non-negotiable: omit the immunity notice and the employer forfeits exemplary damages and attorney fees in a later trade-secret action against the worker. For employers that Wisconsin's covenant rules push toward trade-secret protection, those remedies carry real weight.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clause purporting to forbid compelled disclosure is unenforceable on that point and adds overbreadth a Wisconsin covenant cannot afford to carry.</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Wisconsin's trade-secret act protects only information kept secret by efforts that are reasonable under the circumstances, and a clean exit procedure with a signed certification is some of the best evidence those efforts were real.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 and not a soft target here: the state supreme court holds that an employee non-solicitation provision is a restraint of trade governed by § 103.465, so the clause faces the same reasonableness test and the same all-or-nothing consequence as a non-compete. Keep it confined to the Covered Employees class and a definite period, then route it through the Wisconsin gates at the end of this checklist.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judged under the statute like every other post-employment restraint: lawful only if its restrictions are reasonably necessary to protect the employer. Tailored to customers the worker actually served, it is usually the easiest covenant in the suite to defend; inflated to the whole customer base, it is void with no rescue available.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Barring the worker from serving covered customers even when the customer makes the first call restrains accepting work, not just chasing it. That extra breadth weighs directly on the harsh-or-oppressive factor, so treat inclusion as a deliberate risk decision and insist on a tight customer class.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 Wisconsin non-compete is enforceable only when its restrictions are reasonably necessary to protect the employer, and a miss on any single factor voids it entirely. If the clause appears, review it as a package — interest, time, territory, hardship, public policy — and then confirm nothing inside it, like an extension clause or a catch-all definition, triggers the void rules elsewhere on this page.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names instead of leaning on an open-ended definition. Narrowing decisions made at the drafting table are the only narrowing this covenant will ever get — the statute forbids a court from supplying them later.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an investment restraint with indefinite reach adds exactly the harshness the reasonableness factors count against the whole covenant.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Wisconsin currently has no statute carving physicians out of covenant law: bills restricting medical-practitioner covenants were introduced in the 2025-26 session and failed to pass. Clinician covenants therefore face the ordinary five-factor reasonableness test, where patient access can weigh into the public-policy factor — so the dedicated clause should state the agreement's actual treatment of practitioners rather than imply a statutory carve-out that does not exist, and the failed bills are worth tracking for reintroduction.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On intake it cuts both ways: an incoming covenant signed elsewhere may be void here for overbreadth or an unlawful extension clause, while a covenant that survives review is a genuine hazard for the hiring employer — better to surface either before the first customer call.</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drafting choice with teeth on both sides: a competitor that knowingly induces breach of an enforceable covenant can face an interference claim with disgorgement of profits on the table, which is what gives notice letters their force. But a letter asserting a covenant that fails the reasonableness test overstates the employer's rights, so condition any notice practice on a covenant that actually survives review.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No extension of the restriction during a breach</w:t>
      </w:r>
      <w:r>
        <w:t xml:space="preserve"> — Prohibited (MUST NOT)</w:t>
      </w:r>
    </w:p>
    <w:p>
      <w:pPr>
        <w:spacing w:before="0" w:after="120"/>
        <w:ind w:left="540"/>
      </w:pPr>
      <w:r>
        <w:t xml:space="preserve">Strike any language extending the restricted period by time the worker spent in violation. The court of appeals held that such an extension makes the duration contingent on outcomes the employee cannot predict rather than fixed and definite, and it voided each affected clause even where the clause was otherwise reasonable. A pending-litigation tolling clause is untested here and carries the same indefiniteness risk — and no court will sever the offending sentence to save the rest of the covenant.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The irreparable-harm acknowledgement is standard and harmless — but it buys nothing on its own, because an injunction can issue only on a covenant that first clears every one of the five statutory prerequisites. A void restraint supports no relief at any stage.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statute then frames: Wisconsin presumes a contractual fee agreement is reasonable, and where compensatory damages are awarded it presumes reasonable fees do not exceed three times that amount unless the court finds more is warranted after weighing the statutory factors. Covenant fees routinely outrun covenant damages, so check that any fee clause is mutual and price the presumption into enforcement decisions.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Separate covenants, not a court rescue</w:t>
      </w:r>
      <w:r>
        <w:t xml:space="preserve"> — Avoid (SHOULD NOT)</w:t>
      </w:r>
    </w:p>
    <w:p>
      <w:pPr>
        <w:spacing w:before="0" w:after="120"/>
        <w:ind w:left="540"/>
      </w:pPr>
      <w:r>
        <w:t xml:space="preserve">Read the severability boilerplate against what the statute allows. A savings or court-may-modify clause is a dead letter here: the statute voids an unreasonable restraint even as to the part that would have been reasonable, and a modification provision contrary to it has no effect. The protection that does work is structural — draft each restraint as a separate covenant supporting its own interest, independently readable and enforceable, so the court that voids the most aggressive clause leaves the others standing.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is the divisibility principle carried into the boilerplate: each restraint should expire on its own definite schedule and be readable on its own. A bundled survival clause that entangles the covenants undercuts the very separateness that lets a valid clause outlive an invalid neighbor. </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the employer can assign to successors and the worker cannot. Whoever inherits the covenant inherits its Wisconsin posture with it — the same reasonableness test and the same void-in-full consequence — so an assignment clause moves the covenant without improving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Wisconsin law for Wisconsin work</w:t>
      </w:r>
      <w:r>
        <w:t xml:space="preserve"> — Avoid (SHOULD NOT)</w:t>
      </w:r>
    </w:p>
    <w:p>
      <w:pPr>
        <w:spacing w:before="0" w:after="120"/>
        <w:ind w:left="540"/>
      </w:pPr>
      <w:r>
        <w:t xml:space="preserve">Do not bank on a foreign choice-of-law clause to import friendlier covenant rules into Wisconsin employment: the court of appeals refused to apply another state's severability rule precisely because Wisconsin's policy against saving overbroad covenants is fundamental, and the supreme court's choice-of-law framework treats covenant-restricting laws as the kind of policy that overrides the parties' stipulation. The clause should still name governing law, venue, and process — for Wisconsin work, Wisconsin law plus drafting that survives the statute is the combination that operates as written.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local wrinkle: a later amendment that re-papers a covenant mid-employment needs its own consideration moment — genuine forbearance from termination or tangible new value — and the amendment mechanics should leave a record of what moved and when.</w:t>
      </w:r>
    </w:p>
    <w:p>
      <w:pPr>
        <w:keepNext/>
        <w:spacing w:before="360" w:after="160"/>
      </w:pPr>
      <w:r>
        <w:rPr>
          <w:b/>
          <w:sz w:val="28"/>
          <w:szCs w:val="28"/>
        </w:rPr>
        <w:t xml:space="preserve">19. Wisconsin statutory gates (Wis. Stat. § 103.465)</w:t>
      </w:r>
    </w:p>
    <w:p>
      <w:pPr>
        <w:spacing w:before="0" w:after="120"/>
      </w:pPr>
      <w:r>
        <w:t xml:space="preserve">The five items below exist only on this Wisconsin page: they implement the statute's reasonableness gate and the case-law rules — the employee non-solicit class limit, the confidentiality scoping rule, the sale-of-business framework line, and the lawyer bar —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All five reasonableness factors satisfied</w:t>
      </w:r>
      <w:r>
        <w:t xml:space="preserve"> — Required (MUST)</w:t>
      </w:r>
    </w:p>
    <w:p>
      <w:pPr>
        <w:spacing w:before="0" w:after="120"/>
        <w:ind w:left="540"/>
      </w:pPr>
      <w:r>
        <w:t xml:space="preserve">Run every post-employment restraint through all five prerequisites: a protectable interest justifying this restriction, a reasonable time limit, a reasonable territory, no harshness or oppression toward the worker, and no conflict with public policy. The statute makes the covenant lawful only if its restrictions are reasonably necessary to protect the employer, and one failed factor voids the restraint in full — so score each covenant on each factor, in writing, before relying on any of them. </w:t>
      </w:r>
    </w:p>
    <w:p>
      <w:pPr>
        <w:keepNext/>
        <w:spacing w:before="200" w:after="80"/>
      </w:pPr>
      <w:r>
        <w:rPr>
          <w:rFonts w:ascii="Segoe UI Symbol" w:hAnsi="Segoe UI Symbol"/>
        </w:rPr>
        <w:t xml:space="preserve">☐  </w:t>
      </w:r>
      <w:r>
        <w:rPr>
          <w:b/>
        </w:rPr>
        <w:t xml:space="preserve">19.2  </w:t>
      </w:r>
      <w:r>
        <w:rPr>
          <w:b/>
        </w:rPr>
        <w:t xml:space="preserve">No-poach clause limited to real working relationships</w:t>
      </w:r>
      <w:r>
        <w:t xml:space="preserve"> — Prohibited (MUST NOT)</w:t>
      </w:r>
    </w:p>
    <w:p>
      <w:pPr>
        <w:spacing w:before="0" w:after="120"/>
        <w:ind w:left="540"/>
      </w:pPr>
      <w:r>
        <w:t xml:space="preserve">The no-poach clause must not reach the entire workforce. The state supreme court treated an employee non-solicitation provision as a restraint governed by the statute and held a clause covering every company employee overbroad on its face — so restrict the class to colleagues the departing worker actually worked with, supervised, or gained material information about, inside a stated look-back window. </w:t>
      </w:r>
    </w:p>
    <w:p>
      <w:pPr>
        <w:keepNext/>
        <w:spacing w:before="200" w:after="80"/>
      </w:pPr>
      <w:r>
        <w:rPr>
          <w:rFonts w:ascii="Segoe UI Symbol" w:hAnsi="Segoe UI Symbol"/>
        </w:rPr>
        <w:t xml:space="preserve">☐  </w:t>
      </w:r>
      <w:r>
        <w:rPr>
          <w:b/>
        </w:rPr>
        <w:t xml:space="preserve">19.3  </w:t>
      </w:r>
      <w:r>
        <w:rPr>
          <w:b/>
        </w:rPr>
        <w:t xml:space="preserve">Confidentiality scoped to protectable information</w:t>
      </w:r>
      <w:r>
        <w:t xml:space="preserve"> — Avoid (SHOULD NOT)</w:t>
      </w:r>
    </w:p>
    <w:p>
      <w:pPr>
        <w:spacing w:before="0" w:after="120"/>
        <w:ind w:left="540"/>
      </w:pPr>
      <w:r>
        <w:t xml:space="preserve">The confidentiality covenant should not double as a catch-all gag on everything the worker learned. Drafted that broadly, it becomes a restraint judged under the statute — and a court held one unenforceable on a motion to dismiss, before any evidence was heard. Scope it to trade secrets and genuinely competitively sensitive information, and let the trade-secret act carry the rest. </w:t>
      </w:r>
    </w:p>
    <w:p>
      <w:pPr>
        <w:keepNext/>
        <w:spacing w:before="200" w:after="80"/>
      </w:pPr>
      <w:r>
        <w:rPr>
          <w:rFonts w:ascii="Segoe UI Symbol" w:hAnsi="Segoe UI Symbol"/>
        </w:rPr>
        <w:t xml:space="preserve">☐  </w:t>
      </w:r>
      <w:r>
        <w:rPr>
          <w:b/>
        </w:rPr>
        <w:t xml:space="preserve">19.4  </w:t>
      </w:r>
      <w:r>
        <w:rPr>
          <w:b/>
        </w:rPr>
        <w:t xml:space="preserve">Sale-of-business covenants papered in the deal</w:t>
      </w:r>
      <w:r>
        <w:t xml:space="preserve"> — Recommended (SHOULD)</w:t>
      </w:r>
    </w:p>
    <w:p>
      <w:pPr>
        <w:spacing w:before="0" w:after="120"/>
        <w:ind w:left="540"/>
      </w:pPr>
      <w:r>
        <w:t xml:space="preserve">When the covenant rides a genuine business sale or equity transaction, paper it in the transaction documents — given by the seller, supported by deal consideration, separable from any employment terms. Covenants outside the employment relationship are judged under the common-law rule of reason, which permits partial enforcement of an overlong restraint, while an employee covenant is locked into the statute's all-or-nothing rule; the substance of the relationship, not the caption on the document, selects the framework. </w:t>
      </w:r>
    </w:p>
    <w:p>
      <w:pPr>
        <w:keepNext/>
        <w:spacing w:before="200" w:after="80"/>
      </w:pPr>
      <w:r>
        <w:rPr>
          <w:rFonts w:ascii="Segoe UI Symbol" w:hAnsi="Segoe UI Symbol"/>
        </w:rPr>
        <w:t xml:space="preserve">☐  </w:t>
      </w:r>
      <w:r>
        <w:rPr>
          <w:b/>
        </w:rPr>
        <w:t xml:space="preserve">19.5  </w:t>
      </w:r>
      <w:r>
        <w:rPr>
          <w:b/>
        </w:rPr>
        <w:t xml:space="preserve">No practice restrictions on lawyers</w:t>
      </w:r>
      <w:r>
        <w:t xml:space="preserve"> — Prohibited (MUST NOT)</w:t>
      </w:r>
    </w:p>
    <w:p>
      <w:pPr>
        <w:spacing w:before="0" w:after="120"/>
        <w:ind w:left="540"/>
      </w:pPr>
      <w:r>
        <w:t xml:space="preserve">No restriction on a licensed lawyer's right to practice after the relationship ends: the supreme court rules bar a lawyer from participating in offering or making such an agreement, excepting only retirement-benefit terms and restrictions that are part of settling a client controversy. The bar reaches the firm or employer offering the clause as well as the lawyer signing it, and no reasonableness showing cures it. </w:t>
      </w:r>
    </w:p>
    <w:p>
      <w:pPr>
        <w:spacing w:before="360" w:after="0"/>
      </w:pPr>
      <w:r>
        <w:rPr>
          <w:color w:val="666666"/>
          <w:sz w:val="16"/>
          <w:szCs w:val="16"/>
        </w:rPr>
        <w:t xml:space="preserve">Steven Obiajulu, J.D. edits this review checklist for Wisconsin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