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120"/>
      </w:pPr>
      <w:r>
        <w:rPr>
          <w:b/>
          <w:sz w:val="48"/>
          <w:szCs w:val="48"/>
        </w:rPr>
        <w:t xml:space="preserve">NVCA Indemnification Agreement Reviewer Checklist</w:t>
      </w:r>
    </w:p>
    <w:p>
      <w:pPr>
        <w:spacing w:before="0" w:after="120"/>
      </w:pPr>
      <w:r>
        <w:rPr>
          <w:i/>
          <w:color w:val="444444"/>
        </w:rPr>
        <w:t xml:space="preserve">Review indemnification, advancement, determination procedures, insurance priority and exclusions in the July 2020 NVCA model.</w:t>
      </w:r>
    </w:p>
    <w:p>
      <w:pPr>
        <w:spacing w:before="0" w:after="240"/>
      </w:pPr>
      <w:r>
        <w:rPr>
          <w:color w:val="666666"/>
          <w:sz w:val="18"/>
          <w:szCs w:val="18"/>
        </w:rPr>
        <w:t xml:space="preserve">By Steven Obiajulu, J.D. Last reviewed 2026-09-16. License: CC BY 4.0. https://openagreements.org/checklists/venture-financing/nvca-indemnification-agreement</w:t>
      </w:r>
    </w:p>
    <w:p>
      <w:pPr>
        <w:keepNext/>
        <w:spacing w:before="360" w:after="160"/>
      </w:pPr>
      <w:r>
        <w:rPr>
          <w:b/>
          <w:sz w:val="28"/>
          <w:szCs w:val="28"/>
        </w:rPr>
        <w:t xml:space="preserve">1. Scope and Capacity</w:t>
      </w:r>
    </w:p>
    <w:p>
      <w:pPr>
        <w:spacing w:before="0" w:after="120"/>
      </w:pPr>
      <w:r>
        <w:t xml:space="preserve">Review the July 2020 NVCA model for a Delaware corporation in its DGCL Section 145 context; contractual wording does not establish legal entitlement. See the </w:t>
      </w:r>
      <w:r>
        <w:t xml:space="preserve">practice guide</w:t>
      </w:r>
      <w:r>
        <w:t xml:space="preserve">.</w:t>
      </w:r>
    </w:p>
    <w:p>
      <w:pPr>
        <w:keepNext/>
        <w:spacing w:before="200" w:after="80"/>
      </w:pPr>
      <w:r>
        <w:rPr>
          <w:rFonts w:ascii="Segoe UI Symbol" w:hAnsi="Segoe UI Symbol"/>
        </w:rPr>
        <w:t xml:space="preserve">☐  </w:t>
      </w:r>
      <w:r>
        <w:rPr>
          <w:b/>
        </w:rPr>
        <w:t xml:space="preserve">1.1  </w:t>
      </w:r>
      <w:r>
        <w:rPr>
          <w:b/>
        </w:rPr>
        <w:t xml:space="preserve">Parties and service capacity</w:t>
      </w:r>
      <w:r>
        <w:t xml:space="preserve"> — Recommended (SHOULD)</w:t>
      </w:r>
    </w:p>
    <w:p>
      <w:pPr>
        <w:spacing w:before="0" w:after="120"/>
        <w:ind w:left="540"/>
      </w:pPr>
      <w:r>
        <w:t xml:space="preserve">Check that the completed company and Indemnitee names, effective date and selected officer/director capacity match the intended parties, agreed date and actual service. For outside service, check that the identified entity and capacity match service requested by the Company under Corporate Status. Flag an incorrect entity or role, an inconsistent date or outside service not requested by the Company, and resolve the mismatch before execution. Do not treat the recitals or service description as a guarantee of coverage; the indemnity remains limited by law.</w:t>
      </w:r>
    </w:p>
    <w:p>
      <w:pPr>
        <w:keepNext/>
        <w:spacing w:before="360" w:after="160"/>
      </w:pPr>
      <w:r>
        <w:rPr>
          <w:b/>
          <w:sz w:val="28"/>
          <w:szCs w:val="28"/>
        </w:rPr>
        <w:t xml:space="preserve">2. Proceeding Type</w:t>
      </w:r>
    </w:p>
    <w:p>
      <w:pPr>
        <w:keepNext/>
        <w:spacing w:before="200" w:after="80"/>
      </w:pPr>
      <w:r>
        <w:rPr>
          <w:rFonts w:ascii="Segoe UI Symbol" w:hAnsi="Segoe UI Symbol"/>
        </w:rPr>
        <w:t xml:space="preserve">☐  </w:t>
      </w:r>
      <w:r>
        <w:rPr>
          <w:b/>
        </w:rPr>
        <w:t xml:space="preserve">2.1  </w:t>
      </w:r>
      <w:r>
        <w:rPr>
          <w:b/>
        </w:rPr>
        <w:t xml:space="preserve">Proceeding and payment categories</w:t>
      </w:r>
      <w:r>
        <w:t xml:space="preserve"> — Recommended (SHOULD)</w:t>
      </w:r>
    </w:p>
    <w:p>
      <w:pPr>
        <w:spacing w:before="0" w:after="120"/>
        <w:ind w:left="540"/>
      </w:pPr>
      <w:r>
        <w:t xml:space="preserve">Classify the proceeding before selecting Section 1(a) or 1(b). Compare requested Expenses, judgments, penalties, fines and settlement amounts with the applicable clause; retain the conduct standard and, for company-right claims, the court-determination qualification where required by law.</w:t>
      </w:r>
    </w:p>
    <w:p>
      <w:pPr>
        <w:keepNext/>
        <w:spacing w:before="360" w:after="160"/>
      </w:pPr>
      <w:r>
        <w:rPr>
          <w:b/>
          <w:sz w:val="28"/>
          <w:szCs w:val="28"/>
        </w:rPr>
        <w:t xml:space="preserve">3. Successful and Partial Claims</w:t>
      </w:r>
    </w:p>
    <w:p>
      <w:pPr>
        <w:keepNext/>
        <w:spacing w:before="200" w:after="80"/>
      </w:pPr>
      <w:r>
        <w:rPr>
          <w:rFonts w:ascii="Segoe UI Symbol" w:hAnsi="Segoe UI Symbol"/>
        </w:rPr>
        <w:t xml:space="preserve">☐  </w:t>
      </w:r>
      <w:r>
        <w:rPr>
          <w:b/>
        </w:rPr>
        <w:t xml:space="preserve">3.1  </w:t>
      </w:r>
      <w:r>
        <w:rPr>
          <w:b/>
        </w:rPr>
        <w:t xml:space="preserve">Partial success and allocation</w:t>
      </w:r>
      <w:r>
        <w:t xml:space="preserve"> — Recommended (SHOULD)</w:t>
      </w:r>
    </w:p>
    <w:p>
      <w:pPr>
        <w:spacing w:before="0" w:after="120"/>
        <w:ind w:left="540"/>
      </w:pPr>
      <w:r>
        <w:t xml:space="preserve">Check that the model covers actual, reasonable Expenses attributable to successfully resolved claims and treats dismissal with or without prejudice as success for the dismissed claim. Preserve payment of an otherwise indemnifiable portion when the whole amount is not covered. Flag a whole-case-success condition, an exclusion of dismissal without prejudice or denial of the covered portion. Refer any separate statutory-entitlement question for review of the actual role and event date.</w:t>
      </w:r>
    </w:p>
    <w:p>
      <w:pPr>
        <w:keepNext/>
        <w:spacing w:before="360" w:after="160"/>
      </w:pPr>
      <w:r>
        <w:rPr>
          <w:b/>
          <w:sz w:val="28"/>
          <w:szCs w:val="28"/>
        </w:rPr>
        <w:t xml:space="preserve">4. Appointing Stockholder</w:t>
      </w:r>
    </w:p>
    <w:p>
      <w:pPr>
        <w:keepNext/>
        <w:spacing w:before="200" w:after="80"/>
      </w:pPr>
      <w:r>
        <w:rPr>
          <w:rFonts w:ascii="Segoe UI Symbol" w:hAnsi="Segoe UI Symbol"/>
        </w:rPr>
        <w:t xml:space="preserve">☐  </w:t>
      </w:r>
      <w:r>
        <w:rPr>
          <w:b/>
        </w:rPr>
        <w:t xml:space="preserve">4.1  </w:t>
      </w:r>
      <w:r>
        <w:rPr>
          <w:b/>
        </w:rPr>
        <w:t xml:space="preserve">Optional fund coverage</w:t>
      </w:r>
      <w:r>
        <w:t xml:space="preserve"> — Optional (MAY)</w:t>
      </w:r>
    </w:p>
    <w:p>
      <w:pPr>
        <w:spacing w:before="0" w:after="120"/>
        <w:ind w:left="540"/>
      </w:pPr>
      <w:r>
        <w:t xml:space="preserve">If the Appointing Stockholder extension is included, check that coverage depends on the stated fund affiliation, proceeding and board-approved-action/related-facts predicates, that rights are suspended while the fund lacks board representation, and that the fund is an express third-party beneficiary. Resolve the bracketed IPO-termination and earlier-facts treatment together; flag removed predicates or an unintended change to suspension, beneficiary status or earlier-facts coverage. Coordinate the matching severability language.</w:t>
      </w:r>
    </w:p>
    <w:p>
      <w:pPr>
        <w:keepNext/>
        <w:spacing w:before="360" w:after="160"/>
      </w:pPr>
      <w:r>
        <w:rPr>
          <w:b/>
          <w:sz w:val="28"/>
          <w:szCs w:val="28"/>
        </w:rPr>
        <w:t xml:space="preserve">5. Additional Indemnity</w:t>
      </w:r>
    </w:p>
    <w:p>
      <w:pPr>
        <w:keepNext/>
        <w:spacing w:before="200" w:after="80"/>
      </w:pPr>
      <w:r>
        <w:rPr>
          <w:rFonts w:ascii="Segoe UI Symbol" w:hAnsi="Segoe UI Symbol"/>
        </w:rPr>
        <w:t xml:space="preserve">☐  </w:t>
      </w:r>
      <w:r>
        <w:rPr>
          <w:b/>
        </w:rPr>
        <w:t xml:space="preserve">5.1  </w:t>
      </w:r>
      <w:r>
        <w:rPr>
          <w:b/>
        </w:rPr>
        <w:t xml:space="preserve">Additional protection and legal limits</w:t>
      </w:r>
      <w:r>
        <w:t xml:space="preserve"> — Recommended (SHOULD)</w:t>
      </w:r>
    </w:p>
    <w:p>
      <w:pPr>
        <w:spacing w:before="0" w:after="120"/>
        <w:ind w:left="540"/>
      </w:pPr>
      <w:r>
        <w:t xml:space="preserve">Compare Section 2 with Section 1 and identify each broader payment category or procedure. Preserve the final-unlawfulness limitation and obtain review of the proposed expansion; do not infer validity of every expansion from DGCL Section 145(f).</w:t>
      </w:r>
    </w:p>
    <w:p>
      <w:pPr>
        <w:keepNext/>
        <w:spacing w:before="360" w:after="160"/>
      </w:pPr>
      <w:r>
        <w:rPr>
          <w:b/>
          <w:sz w:val="28"/>
          <w:szCs w:val="28"/>
        </w:rPr>
        <w:t xml:space="preserve">6. Contribution</w:t>
      </w:r>
    </w:p>
    <w:p>
      <w:pPr>
        <w:keepNext/>
        <w:spacing w:before="200" w:after="80"/>
      </w:pPr>
      <w:r>
        <w:rPr>
          <w:rFonts w:ascii="Segoe UI Symbol" w:hAnsi="Segoe UI Symbol"/>
        </w:rPr>
        <w:t xml:space="preserve">☐  </w:t>
      </w:r>
      <w:r>
        <w:rPr>
          <w:b/>
        </w:rPr>
        <w:t xml:space="preserve">6.1  </w:t>
      </w:r>
      <w:r>
        <w:rPr>
          <w:b/>
        </w:rPr>
        <w:t xml:space="preserve">Contribution triggers and settlement release</w:t>
      </w:r>
      <w:r>
        <w:t xml:space="preserve"> — Recommended (SHOULD)</w:t>
      </w:r>
    </w:p>
    <w:p>
      <w:pPr>
        <w:spacing w:before="0" w:after="120"/>
        <w:ind w:left="540"/>
      </w:pPr>
      <w:r>
        <w:t xml:space="preserve">For the joint-liability trigger in Section 3(a), check that the company pays first and obtains a full release of the individual in a settlement. Flag a contribution demand or settlement that omits those protections. Preserve the separate relative-benefit/fault allocation, other-person contribution and unavailable-indemnity conditions; do not treat these model allocations as guarantees of enforceability.</w:t>
      </w:r>
    </w:p>
    <w:p>
      <w:pPr>
        <w:keepNext/>
        <w:spacing w:before="360" w:after="160"/>
      </w:pPr>
      <w:r>
        <w:rPr>
          <w:b/>
          <w:sz w:val="28"/>
          <w:szCs w:val="28"/>
        </w:rPr>
        <w:t xml:space="preserve">7. Securities Registration</w:t>
      </w:r>
    </w:p>
    <w:p>
      <w:pPr>
        <w:keepNext/>
        <w:spacing w:before="200" w:after="80"/>
      </w:pPr>
      <w:r>
        <w:rPr>
          <w:rFonts w:ascii="Segoe UI Symbol" w:hAnsi="Segoe UI Symbol"/>
        </w:rPr>
        <w:t xml:space="preserve">☐  </w:t>
      </w:r>
      <w:r>
        <w:rPr>
          <w:b/>
        </w:rPr>
        <w:t xml:space="preserve">7.1  </w:t>
      </w:r>
      <w:r>
        <w:rPr>
          <w:b/>
        </w:rPr>
        <w:t xml:space="preserve">Securities Act registration context</w:t>
      </w:r>
      <w:r>
        <w:t xml:space="preserve"> — Recommended (SHOULD)</w:t>
      </w:r>
    </w:p>
    <w:p>
      <w:pPr>
        <w:spacing w:before="0" w:after="120"/>
        <w:ind w:left="540"/>
      </w:pPr>
      <w:r>
        <w:t xml:space="preserve">If registration-statement indemnification disclosure or an undertaking is relevant, review the actual Item 510/512 context, successful-defense expense qualification and court-submission terms. Do not extend that statement to all Exchange Act liabilities or contribution allocations.</w:t>
      </w:r>
    </w:p>
    <w:p>
      <w:pPr>
        <w:keepNext/>
        <w:spacing w:before="360" w:after="160"/>
      </w:pPr>
      <w:r>
        <w:rPr>
          <w:b/>
          <w:sz w:val="28"/>
          <w:szCs w:val="28"/>
        </w:rPr>
        <w:t xml:space="preserve">8. Witness Costs and Advances</w:t>
      </w:r>
    </w:p>
    <w:p>
      <w:pPr>
        <w:keepNext/>
        <w:spacing w:before="200" w:after="80"/>
      </w:pPr>
      <w:r>
        <w:rPr>
          <w:rFonts w:ascii="Segoe UI Symbol" w:hAnsi="Segoe UI Symbol"/>
        </w:rPr>
        <w:t xml:space="preserve">☐  </w:t>
      </w:r>
      <w:r>
        <w:rPr>
          <w:b/>
        </w:rPr>
        <w:t xml:space="preserve">8.1  </w:t>
      </w:r>
      <w:r>
        <w:rPr>
          <w:b/>
        </w:rPr>
        <w:t xml:space="preserve">Witness and discovery status</w:t>
      </w:r>
      <w:r>
        <w:t xml:space="preserve"> — Recommended (SHOULD)</w:t>
      </w:r>
    </w:p>
    <w:p>
      <w:pPr>
        <w:spacing w:before="0" w:after="120"/>
        <w:ind w:left="540"/>
      </w:pPr>
      <w:r>
        <w:t xml:space="preserve">Confirm Corporate Status and nonparty witness/discovery participation under Section 4. Separate that claim from party-defense costs and verify actual, reasonable Expenses.</w:t>
      </w:r>
    </w:p>
    <w:p>
      <w:pPr>
        <w:keepNext/>
        <w:spacing w:before="200" w:after="80"/>
      </w:pPr>
      <w:r>
        <w:rPr>
          <w:rFonts w:ascii="Segoe UI Symbol" w:hAnsi="Segoe UI Symbol"/>
        </w:rPr>
        <w:t xml:space="preserve">☐  </w:t>
      </w:r>
      <w:r>
        <w:rPr>
          <w:b/>
        </w:rPr>
        <w:t xml:space="preserve">8.2  </w:t>
      </w:r>
      <w:r>
        <w:rPr>
          <w:b/>
        </w:rPr>
        <w:t xml:space="preserve">Advancement request and undertaking</w:t>
      </w:r>
      <w:r>
        <w:t xml:space="preserve"> — Recommended (SHOULD)</w:t>
      </w:r>
    </w:p>
    <w:p>
      <w:pPr>
        <w:spacing w:before="0" w:after="120"/>
        <w:ind w:left="540"/>
      </w:pPr>
      <w:r>
        <w:t xml:space="preserve">Record receipt of the advance request, reasonably evidencing statements and written repayment undertaking. Apply the selected 30-day model period, unsecured/interest-free treatment and Section 9 exclusion. If replacing a separate undertaking with agreement language, make that an express negotiated change.</w:t>
      </w:r>
    </w:p>
    <w:p>
      <w:pPr>
        <w:keepNext/>
        <w:spacing w:before="360" w:after="160"/>
      </w:pPr>
      <w:r>
        <w:rPr>
          <w:b/>
          <w:sz w:val="28"/>
          <w:szCs w:val="28"/>
        </w:rPr>
        <w:t xml:space="preserve">9. Request and Decision</w:t>
      </w:r>
    </w:p>
    <w:p>
      <w:pPr>
        <w:keepNext/>
        <w:spacing w:before="200" w:after="80"/>
      </w:pPr>
      <w:r>
        <w:rPr>
          <w:rFonts w:ascii="Segoe UI Symbol" w:hAnsi="Segoe UI Symbol"/>
        </w:rPr>
        <w:t xml:space="preserve">☐  </w:t>
      </w:r>
      <w:r>
        <w:rPr>
          <w:b/>
        </w:rPr>
        <w:t xml:space="preserve">9.1  </w:t>
      </w:r>
      <w:r>
        <w:rPr>
          <w:b/>
        </w:rPr>
        <w:t xml:space="preserve">Request, board notice and decision method</w:t>
      </w:r>
      <w:r>
        <w:t xml:space="preserve"> — Recommended (SHOULD)</w:t>
      </w:r>
    </w:p>
    <w:p>
      <w:pPr>
        <w:spacing w:before="0" w:after="120"/>
        <w:ind w:left="540"/>
      </w:pPr>
      <w:r>
        <w:t xml:space="preserve">Check that the request supplies reasonably available necessary information, the secretary promptly notifies the board, and the board selects a permitted decision method with its stated disinterested-director conditions. Preserve the actual-and-material-prejudice qualification for a missing or late request and company participation at its own expense. Flag a different decision-maker, an unconditional forfeiture for delay, or shifted company participation costs.</w:t>
      </w:r>
    </w:p>
    <w:p>
      <w:pPr>
        <w:keepNext/>
        <w:spacing w:before="200" w:after="80"/>
      </w:pPr>
      <w:r>
        <w:rPr>
          <w:rFonts w:ascii="Segoe UI Symbol" w:hAnsi="Segoe UI Symbol"/>
        </w:rPr>
        <w:t xml:space="preserve">☐  </w:t>
      </w:r>
      <w:r>
        <w:rPr>
          <w:b/>
        </w:rPr>
        <w:t xml:space="preserve">9.2  </w:t>
      </w:r>
      <w:r>
        <w:rPr>
          <w:b/>
        </w:rPr>
        <w:t xml:space="preserve">Counsel selection and objections</w:t>
      </w:r>
      <w:r>
        <w:t xml:space="preserve"> — Recommended (SHOULD)</w:t>
      </w:r>
    </w:p>
    <w:p>
      <w:pPr>
        <w:spacing w:before="0" w:after="120"/>
        <w:ind w:left="540"/>
      </w:pPr>
      <w:r>
        <w:t xml:space="preserve">Check that the board-selected counsel meets the Independent Counsel definition, the individual retains the 10-day factual objection, and an unresolved selection has the 20-day court route. Preserve company payment of the specified reasonable fees and expenses; flag removal of the objection process or a shift of those costs to the individual.</w:t>
      </w:r>
    </w:p>
    <w:p>
      <w:pPr>
        <w:keepNext/>
        <w:spacing w:before="360" w:after="160"/>
      </w:pPr>
      <w:r>
        <w:rPr>
          <w:b/>
          <w:sz w:val="28"/>
          <w:szCs w:val="28"/>
        </w:rPr>
        <w:t xml:space="preserve">10. Presumptions and Time</w:t>
      </w:r>
    </w:p>
    <w:p>
      <w:pPr>
        <w:keepNext/>
        <w:spacing w:before="200" w:after="80"/>
      </w:pPr>
      <w:r>
        <w:rPr>
          <w:rFonts w:ascii="Segoe UI Symbol" w:hAnsi="Segoe UI Symbol"/>
        </w:rPr>
        <w:t xml:space="preserve">☐  </w:t>
      </w:r>
      <w:r>
        <w:rPr>
          <w:b/>
        </w:rPr>
        <w:t xml:space="preserve">10.1  </w:t>
      </w:r>
      <w:r>
        <w:rPr>
          <w:b/>
        </w:rPr>
        <w:t xml:space="preserve">Determination deadline and exceptions</w:t>
      </w:r>
      <w:r>
        <w:t xml:space="preserve"> — Recommended (SHOULD)</w:t>
      </w:r>
    </w:p>
    <w:p>
      <w:pPr>
        <w:spacing w:before="0" w:after="120"/>
        <w:ind w:left="540"/>
      </w:pPr>
      <w:r>
        <w:t xml:space="preserve">Calendar the 60-day determination period and any permitted 30-day extension. Check material misstatement/omission and legal prohibitions, and test the separate timely stockholder-meeting exceptions before treating silence as entitlement.</w:t>
      </w:r>
    </w:p>
    <w:p>
      <w:pPr>
        <w:keepNext/>
        <w:spacing w:before="200" w:after="80"/>
      </w:pPr>
      <w:r>
        <w:rPr>
          <w:rFonts w:ascii="Segoe UI Symbol" w:hAnsi="Segoe UI Symbol"/>
        </w:rPr>
        <w:t xml:space="preserve">☐  </w:t>
      </w:r>
      <w:r>
        <w:rPr>
          <w:b/>
        </w:rPr>
        <w:t xml:space="preserve">10.2  </w:t>
      </w:r>
      <w:r>
        <w:rPr>
          <w:b/>
        </w:rPr>
        <w:t xml:space="preserve">Presumptions and cooperation</w:t>
      </w:r>
      <w:r>
        <w:t xml:space="preserve"> — Recommended (SHOULD)</w:t>
      </w:r>
    </w:p>
    <w:p>
      <w:pPr>
        <w:spacing w:before="0" w:after="120"/>
        <w:ind w:left="540"/>
      </w:pPr>
      <w:r>
        <w:t xml:space="preserve">Compare entitlement/good-faith presumptions, evidence burdens, reliance sources, non-imputation and disposition language with the selected agreement. Preserve reasonable requests, privilege/protected-information limits, decision-maker good faith and company-funded cooperation costs.</w:t>
      </w:r>
    </w:p>
    <w:p>
      <w:pPr>
        <w:keepNext/>
        <w:spacing w:before="360" w:after="160"/>
      </w:pPr>
      <w:r>
        <w:rPr>
          <w:b/>
          <w:sz w:val="28"/>
          <w:szCs w:val="28"/>
        </w:rPr>
        <w:t xml:space="preserve">11. Enforcement Remedies</w:t>
      </w:r>
    </w:p>
    <w:p>
      <w:pPr>
        <w:keepNext/>
        <w:spacing w:before="200" w:after="80"/>
      </w:pPr>
      <w:r>
        <w:rPr>
          <w:rFonts w:ascii="Segoe UI Symbol" w:hAnsi="Segoe UI Symbol"/>
        </w:rPr>
        <w:t xml:space="preserve">☐  </w:t>
      </w:r>
      <w:r>
        <w:rPr>
          <w:b/>
        </w:rPr>
        <w:t xml:space="preserve">11.1  </w:t>
      </w:r>
      <w:r>
        <w:rPr>
          <w:b/>
        </w:rPr>
        <w:t xml:space="preserve">Remedy triggers and court deadline</w:t>
      </w:r>
      <w:r>
        <w:t xml:space="preserve"> — Recommended (SHOULD)</w:t>
      </w:r>
    </w:p>
    <w:p>
      <w:pPr>
        <w:spacing w:before="0" w:after="120"/>
        <w:ind w:left="540"/>
      </w:pPr>
      <w:r>
        <w:t xml:space="preserve">Identify which Section 7(a) trigger applies, including its 10-day/90-day payment or determination conditions, and calendar the 180-day commencement period. Reconcile court language and final-disposition timing with advancement requests.</w:t>
      </w:r>
    </w:p>
    <w:p>
      <w:pPr>
        <w:keepNext/>
        <w:spacing w:before="200" w:after="80"/>
      </w:pPr>
      <w:r>
        <w:rPr>
          <w:rFonts w:ascii="Segoe UI Symbol" w:hAnsi="Segoe UI Symbol"/>
        </w:rPr>
        <w:t xml:space="preserve">☐  </w:t>
      </w:r>
      <w:r>
        <w:rPr>
          <w:b/>
        </w:rPr>
        <w:t xml:space="preserve">11.2  </w:t>
      </w:r>
      <w:r>
        <w:rPr>
          <w:b/>
        </w:rPr>
        <w:t xml:space="preserve">Review standard and enforcement funding</w:t>
      </w:r>
      <w:r>
        <w:t xml:space="preserve"> — Recommended (SHOULD)</w:t>
      </w:r>
    </w:p>
    <w:p>
      <w:pPr>
        <w:spacing w:before="0" w:after="120"/>
        <w:ind w:left="540"/>
      </w:pPr>
      <w:r>
        <w:t xml:space="preserve">Review de novo treatment, the favorable-decision exceptions and the distinct advancement/indemnification terms for enforcing rights or seeking insurance recovery. Preserve stated success and legal-permission qualifications rather than treating every enforcement expense as unconditionally indemnified.</w:t>
      </w:r>
    </w:p>
    <w:p>
      <w:pPr>
        <w:keepNext/>
        <w:spacing w:before="360" w:after="160"/>
      </w:pPr>
      <w:r>
        <w:rPr>
          <w:b/>
          <w:sz w:val="28"/>
          <w:szCs w:val="28"/>
        </w:rPr>
        <w:t xml:space="preserve">12. Insurance and Priority</w:t>
      </w:r>
    </w:p>
    <w:p>
      <w:pPr>
        <w:keepNext/>
        <w:spacing w:before="200" w:after="80"/>
      </w:pPr>
      <w:r>
        <w:rPr>
          <w:rFonts w:ascii="Segoe UI Symbol" w:hAnsi="Segoe UI Symbol"/>
        </w:rPr>
        <w:t xml:space="preserve">☐  </w:t>
      </w:r>
      <w:r>
        <w:rPr>
          <w:b/>
        </w:rPr>
        <w:t xml:space="preserve">12.1  </w:t>
      </w:r>
      <w:r>
        <w:rPr>
          <w:b/>
        </w:rPr>
        <w:t xml:space="preserve">Insurance and non-exclusive rights</w:t>
      </w:r>
      <w:r>
        <w:t xml:space="preserve"> — Recommended (SHOULD)</w:t>
      </w:r>
    </w:p>
    <w:p>
      <w:pPr>
        <w:spacing w:before="0" w:after="120"/>
        <w:ind w:left="540"/>
      </w:pPr>
      <w:r>
        <w:t xml:space="preserve">If the company maintains the described policies, check that coverage follows their terms to the maximum extent available for the listed insured roles and that the company gives insurer notice and pursues payable amounts. Flag reduced model coverage or deleted notice/cooperation duties, without inventing a policy limit or a duty to buy insurance. Preserve non-exclusive rights, prior-act protection and cumulative remedies.</w:t>
      </w:r>
    </w:p>
    <w:p>
      <w:pPr>
        <w:keepNext/>
        <w:spacing w:before="200" w:after="80"/>
      </w:pPr>
      <w:r>
        <w:rPr>
          <w:rFonts w:ascii="Segoe UI Symbol" w:hAnsi="Segoe UI Symbol"/>
        </w:rPr>
        <w:t xml:space="preserve">☐  </w:t>
      </w:r>
      <w:r>
        <w:rPr>
          <w:b/>
        </w:rPr>
        <w:t xml:space="preserve">12.2  </w:t>
      </w:r>
      <w:r>
        <w:rPr>
          <w:b/>
        </w:rPr>
        <w:t xml:space="preserve">Optional fund priority and recovery</w:t>
      </w:r>
      <w:r>
        <w:t xml:space="preserve"> — Optional (MAY)</w:t>
      </w:r>
    </w:p>
    <w:p>
      <w:pPr>
        <w:spacing w:before="0" w:after="120"/>
        <w:ind w:left="540"/>
      </w:pPr>
      <w:r>
        <w:t xml:space="preserve">If fund priority is selected, identify the Fund Indemnitors and preserve company-first payment and the fund contribution/subrogation and beneficiary terms. Flag fund-first payment or offsets that defeat that selected priority. Apply actual-receipt offsets, company subrogation and outside-enterprise reductions subject to the stated fund-priority exception.</w:t>
      </w:r>
    </w:p>
    <w:p>
      <w:pPr>
        <w:keepNext/>
        <w:spacing w:before="360" w:after="160"/>
      </w:pPr>
      <w:r>
        <w:rPr>
          <w:b/>
          <w:sz w:val="28"/>
          <w:szCs w:val="28"/>
        </w:rPr>
        <w:t xml:space="preserve">13. Excluded Claims</w:t>
      </w:r>
    </w:p>
    <w:p>
      <w:pPr>
        <w:keepNext/>
        <w:spacing w:before="200" w:after="80"/>
      </w:pPr>
      <w:r>
        <w:rPr>
          <w:rFonts w:ascii="Segoe UI Symbol" w:hAnsi="Segoe UI Symbol"/>
        </w:rPr>
        <w:t xml:space="preserve">☐  </w:t>
      </w:r>
      <w:r>
        <w:rPr>
          <w:b/>
        </w:rPr>
        <w:t xml:space="preserve">13.1  </w:t>
      </w:r>
      <w:r>
        <w:rPr>
          <w:b/>
        </w:rPr>
        <w:t xml:space="preserve">Exclusions and counterclaims</w:t>
      </w:r>
      <w:r>
        <w:t xml:space="preserve"> — Recommended (SHOULD)</w:t>
      </w:r>
    </w:p>
    <w:p>
      <w:pPr>
        <w:spacing w:before="0" w:after="120"/>
        <w:ind w:left="540"/>
      </w:pPr>
      <w:r>
        <w:t xml:space="preserve">Review prior payments/excess and fund-priority treatment, specified trading-profit/clawback reimbursements, and the initiated-proceeding exclusion. Preserve Section 7(e), board-authorization, mandatory counterclaim/cross-claim and discretionary-payment qualifications. Treat any added employment/code-of-conduct exception as a negotiated choice.</w:t>
      </w:r>
    </w:p>
    <w:p>
      <w:pPr>
        <w:keepNext/>
        <w:spacing w:before="360" w:after="160"/>
      </w:pPr>
      <w:r>
        <w:rPr>
          <w:b/>
          <w:sz w:val="28"/>
          <w:szCs w:val="28"/>
        </w:rPr>
        <w:t xml:space="preserve">14. Duration and Security</w:t>
      </w:r>
    </w:p>
    <w:p>
      <w:pPr>
        <w:keepNext/>
        <w:spacing w:before="200" w:after="80"/>
      </w:pPr>
      <w:r>
        <w:rPr>
          <w:rFonts w:ascii="Segoe UI Symbol" w:hAnsi="Segoe UI Symbol"/>
        </w:rPr>
        <w:t xml:space="preserve">☐  </w:t>
      </w:r>
      <w:r>
        <w:rPr>
          <w:b/>
        </w:rPr>
        <w:t xml:space="preserve">14.1  </w:t>
      </w:r>
      <w:r>
        <w:rPr>
          <w:b/>
        </w:rPr>
        <w:t xml:space="preserve">Duration and successors</w:t>
      </w:r>
      <w:r>
        <w:t xml:space="preserve"> — Recommended (SHOULD)</w:t>
      </w:r>
    </w:p>
    <w:p>
      <w:pPr>
        <w:spacing w:before="0" w:after="120"/>
        <w:ind w:left="540"/>
      </w:pPr>
      <w:r>
        <w:t xml:space="preserve">Check that obligations continue through the described service and while qualifying proceedings remain possible under Section 10. Resolve the optional additional-years period and successor alternative; flag an unfilled period or an unconditional service-end cutoff that removes the model’s proceeding survival. Reconcile the company’s reliance acknowledgment and supersession of prior understandings with the actual prior documents.</w:t>
      </w:r>
    </w:p>
    <w:p>
      <w:pPr>
        <w:keepNext/>
        <w:spacing w:before="200" w:after="80"/>
      </w:pPr>
      <w:r>
        <w:rPr>
          <w:rFonts w:ascii="Segoe UI Symbol" w:hAnsi="Segoe UI Symbol"/>
        </w:rPr>
        <w:t xml:space="preserve">☐  </w:t>
      </w:r>
      <w:r>
        <w:rPr>
          <w:b/>
        </w:rPr>
        <w:t xml:space="preserve">14.2  </w:t>
      </w:r>
      <w:r>
        <w:rPr>
          <w:b/>
        </w:rPr>
        <w:t xml:space="preserve">Optional security</w:t>
      </w:r>
      <w:r>
        <w:t xml:space="preserve"> — Optional (MAY)</w:t>
      </w:r>
    </w:p>
    <w:p>
      <w:pPr>
        <w:spacing w:before="0" w:after="120"/>
        <w:ind w:left="540"/>
      </w:pPr>
      <w:r>
        <w:t xml:space="preserve">If security is requested and approved, specify the arrangement and preserve the written-consent requirement for release. Do not describe Section 11 as an unconditional collateral obligation.</w:t>
      </w:r>
    </w:p>
    <w:p>
      <w:pPr>
        <w:keepNext/>
        <w:spacing w:before="200" w:after="80"/>
      </w:pPr>
      <w:r>
        <w:rPr>
          <w:rFonts w:ascii="Segoe UI Symbol" w:hAnsi="Segoe UI Symbol"/>
        </w:rPr>
        <w:t xml:space="preserve">☐  </w:t>
      </w:r>
      <w:r>
        <w:rPr>
          <w:b/>
        </w:rPr>
        <w:t xml:space="preserve">14.3  </w:t>
      </w:r>
      <w:r>
        <w:rPr>
          <w:b/>
        </w:rPr>
        <w:t xml:space="preserve">Advancement bar-order restriction</w:t>
      </w:r>
      <w:r>
        <w:t xml:space="preserve"> — Recommended (SHOULD)</w:t>
      </w:r>
    </w:p>
    <w:p>
      <w:pPr>
        <w:spacing w:before="0" w:after="120"/>
        <w:ind w:left="540"/>
      </w:pPr>
      <w:r>
        <w:t xml:space="preserve">Check that the company retains its covenant not to seek or agree to an order limiting contractual advancement. Flag deletion or narrowing of that covenant; treat it as the model’s undertaking, not a case holding or guaranteed court result.</w:t>
      </w:r>
    </w:p>
    <w:p>
      <w:pPr>
        <w:keepNext/>
        <w:spacing w:before="360" w:after="160"/>
      </w:pPr>
      <w:r>
        <w:rPr>
          <w:b/>
          <w:sz w:val="28"/>
          <w:szCs w:val="28"/>
        </w:rPr>
        <w:t xml:space="preserve">15. Definitions and Closing</w:t>
      </w:r>
    </w:p>
    <w:p>
      <w:pPr>
        <w:keepNext/>
        <w:spacing w:before="200" w:after="80"/>
      </w:pPr>
      <w:r>
        <w:rPr>
          <w:rFonts w:ascii="Segoe UI Symbol" w:hAnsi="Segoe UI Symbol"/>
        </w:rPr>
        <w:t xml:space="preserve">☐  </w:t>
      </w:r>
      <w:r>
        <w:rPr>
          <w:b/>
        </w:rPr>
        <w:t xml:space="preserve">15.1  </w:t>
      </w:r>
      <w:r>
        <w:rPr>
          <w:b/>
        </w:rPr>
        <w:t xml:space="preserve">Definitions and expense boundaries</w:t>
      </w:r>
      <w:r>
        <w:t xml:space="preserve"> — Recommended (SHOULD)</w:t>
      </w:r>
    </w:p>
    <w:p>
      <w:pPr>
        <w:spacing w:before="0" w:after="120"/>
        <w:ind w:left="540"/>
      </w:pPr>
      <w:r>
        <w:t xml:space="preserve">Check that Corporate Status and Enterprise cover the described company and requested outside service, Disinterested Director excludes current/former parties to the proceeding, Expenses retains the listed reasonable cost categories and excludes settlements/judgments/fines, and Independent Counsel retains the conflict exclusion. Resolve the bracketed tax inclusion, retain the specified appeal/insurance-recovery/enforcement cost categories, and preserve the Proceeding definition’s Section 7 enforcement exclusion. Flag a mismatch with the actual service or a change to those expense or counsel boundaries.</w:t>
      </w:r>
    </w:p>
    <w:p>
      <w:pPr>
        <w:keepNext/>
        <w:spacing w:before="200" w:after="80"/>
      </w:pPr>
      <w:r>
        <w:rPr>
          <w:rFonts w:ascii="Segoe UI Symbol" w:hAnsi="Segoe UI Symbol"/>
        </w:rPr>
        <w:t xml:space="preserve">☐  </w:t>
      </w:r>
      <w:r>
        <w:rPr>
          <w:b/>
        </w:rPr>
        <w:t xml:space="preserve">15.2  </w:t>
      </w:r>
      <w:r>
        <w:rPr>
          <w:b/>
        </w:rPr>
        <w:t xml:space="preserve">Written changes, notices and forum</w:t>
      </w:r>
      <w:r>
        <w:t xml:space="preserve"> — Recommended (SHOULD)</w:t>
      </w:r>
    </w:p>
    <w:p>
      <w:pPr>
        <w:spacing w:before="0" w:after="120"/>
        <w:ind w:left="540"/>
      </w:pPr>
      <w:r>
        <w:t xml:space="preserve">Preserve both-party written modifications and the claim-notice material-prejudice qualification; flag unilateral amendments or an unconditional loss of protection for late notice. Resolve optional fund severability and any process agent, and complete delivery addresses, signatures and counterparts. Flag inconsistency between Section 19’s exclusive Delaware Chancery language and Section 7’s court wording; preserve the rule that headings add no operative rights.</w:t>
      </w:r>
    </w:p>
    <w:p>
      <w:pPr>
        <w:spacing w:before="0" w:after="120"/>
      </w:pPr>
      <w:r>
        <w:t xml:space="preserve">Original explanation: CC BY 4.0. Quoted NVCA materials retain their original rights.</w:t>
      </w:r>
    </w:p>
    <w:p>
      <w:pPr>
        <w:spacing w:before="360" w:after="0"/>
      </w:pPr>
      <w:r>
        <w:rPr>
          <w:color w:val="666666"/>
          <w:sz w:val="16"/>
          <w:szCs w:val="16"/>
        </w:rPr>
        <w:t xml:space="preserve">Steven Obiajulu, J.D. edits this reviewer checklist for July 2020 NVCA model for a Delaware corporation; limited statutory and registration context coverage. It synthesizes legal sources and is not legal advice. This article is for informational purposes only and does not create an attorney-client relationship.</w:t>
      </w:r>
    </w:p>
    <w:sectPr>
      <w:pgSz w:w="12240" w:h="15840"/>
      <w:pgMar w:top="1440" w:right="1440" w:bottom="1440" w:left="1440"/>
    </w:sectPr>
  </w:body>
</w:document>
</file>

<file path=word/styles.xml><?xml version="1.0" encoding="utf-8"?>
<w:styles xmlns:w="http://schemas.openxmlformats.org/wordprocessingml/2006/main">
  <w:docDefaults>
    <w:rPrDefault>
      <w:rPr>
        <w:rFonts w:ascii="Calibri" w:hAnsi="Calibri"/>
        <w:sz w:val="22"/>
        <w:szCs w:val="22"/>
      </w:rPr>
    </w:rPrDefault>
    <w:pPrDefault>
      <w:pPr>
        <w:spacing w:after="120" w:line="276" w:lineRule="auto"/>
      </w:pPr>
    </w:pPrDefault>
  </w:docDefaults>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