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0" w:after="120"/>
      </w:pPr>
      <w:r>
        <w:rPr>
          <w:b/>
          <w:sz w:val="48"/>
          <w:szCs w:val="48"/>
        </w:rPr>
        <w:t xml:space="preserve">NVCA Management Rights Letter Reviewer Checklist</w:t>
      </w:r>
    </w:p>
    <w:p>
      <w:pPr>
        <w:spacing w:before="0" w:after="120"/>
      </w:pPr>
      <w:r>
        <w:rPr>
          <w:i/>
          <w:color w:val="444444"/>
        </w:rPr>
        <w:t xml:space="preserve">Review consultation, inspection, board materials, confidentiality and termination in the July 2020 NVCA model, with limited regulatory context.</w:t>
      </w:r>
    </w:p>
    <w:p>
      <w:pPr>
        <w:spacing w:before="0" w:after="240"/>
      </w:pPr>
      <w:r>
        <w:rPr>
          <w:color w:val="666666"/>
          <w:sz w:val="18"/>
          <w:szCs w:val="18"/>
        </w:rPr>
        <w:t xml:space="preserve">By Steven Obiajulu, J.D. Last reviewed 2026-09-16. License: CC BY 4.0. https://openagreements.org/checklists/venture-financing/nvca-management-rights-letter</w:t>
      </w:r>
    </w:p>
    <w:p>
      <w:pPr>
        <w:keepNext/>
        <w:spacing w:before="360" w:after="160"/>
      </w:pPr>
      <w:r>
        <w:rPr>
          <w:b/>
          <w:sz w:val="28"/>
          <w:szCs w:val="28"/>
        </w:rPr>
        <w:t xml:space="preserve">1. Purpose and Purchase</w:t>
      </w:r>
    </w:p>
    <w:p>
      <w:pPr>
        <w:spacing w:before="0" w:after="120"/>
      </w:pPr>
      <w:r>
        <w:t xml:space="preserve">Review the selected July 2020 NVCA Management Rights Letter terms and the actual investment. See the </w:t>
      </w:r>
      <w:r>
        <w:t xml:space="preserve">practice guide</w:t>
      </w:r>
      <w:r>
        <w:t xml:space="preserve"> for conditional federal ERISA/venture capital operating company (VCOC) and CFIUS context.</w:t>
      </w:r>
    </w:p>
    <w:p>
      <w:pPr>
        <w:keepNext/>
        <w:spacing w:before="200" w:after="80"/>
      </w:pPr>
      <w:r>
        <w:rPr>
          <w:rFonts w:ascii="Segoe UI Symbol" w:hAnsi="Segoe UI Symbol"/>
        </w:rPr>
        <w:t xml:space="preserve">☐  </w:t>
      </w:r>
      <w:r>
        <w:rPr>
          <w:b/>
        </w:rPr>
        <w:t xml:space="preserve">1.1  </w:t>
      </w:r>
      <w:r>
        <w:rPr>
          <w:b/>
        </w:rPr>
        <w:t xml:space="preserve">Investment and regulatory purpose</w:t>
      </w:r>
      <w:r>
        <w:t xml:space="preserve"> — Recommended (SHOULD)</w:t>
      </w:r>
    </w:p>
    <w:p>
      <w:pPr>
        <w:spacing w:before="0" w:after="120"/>
        <w:ind w:left="540"/>
      </w:pPr>
      <w:r>
        <w:t xml:space="preserve">Match the company, investor legal entity, date, purchased shares and series to the financing. Identify the regulatory purpose and separately review the applicable asset, investment, valuation-period and actual-exercise conditions; do not treat execution as a VCOC conclusion.</w:t>
      </w:r>
    </w:p>
    <w:p>
      <w:pPr>
        <w:keepNext/>
        <w:spacing w:before="360" w:after="160"/>
      </w:pPr>
      <w:r>
        <w:rPr>
          <w:b/>
          <w:sz w:val="28"/>
          <w:szCs w:val="28"/>
        </w:rPr>
        <w:t xml:space="preserve">2. Management Consultation</w:t>
      </w:r>
    </w:p>
    <w:p>
      <w:pPr>
        <w:keepNext/>
        <w:spacing w:before="200" w:after="80"/>
      </w:pPr>
      <w:r>
        <w:rPr>
          <w:rFonts w:ascii="Segoe UI Symbol" w:hAnsi="Segoe UI Symbol"/>
        </w:rPr>
        <w:t xml:space="preserve">☐  </w:t>
      </w:r>
      <w:r>
        <w:rPr>
          <w:b/>
        </w:rPr>
        <w:t xml:space="preserve">2.1  </w:t>
      </w:r>
      <w:r>
        <w:rPr>
          <w:b/>
        </w:rPr>
        <w:t xml:space="preserve">Consultation scope and scheduling</w:t>
      </w:r>
      <w:r>
        <w:t xml:space="preserve"> — Optional (MAY)</w:t>
      </w:r>
    </w:p>
    <w:p>
      <w:pPr>
        <w:spacing w:before="0" w:after="120"/>
        <w:ind w:left="540"/>
      </w:pPr>
      <w:r>
        <w:t xml:space="preserve">If selected, check that consultation applies when the investor lacks board representation and covers significant business issues, including annual operating plans and progress against them, with regular meetings at mutually agreeable times. Flag deletion of that scope or scheduling condition, or a selected later restriction that prevents the agreed consultation.</w:t>
      </w:r>
    </w:p>
    <w:p>
      <w:pPr>
        <w:keepNext/>
        <w:spacing w:before="360" w:after="160"/>
      </w:pPr>
      <w:r>
        <w:rPr>
          <w:b/>
          <w:sz w:val="28"/>
          <w:szCs w:val="28"/>
        </w:rPr>
        <w:t xml:space="preserve">3. Inspection and Information</w:t>
      </w:r>
    </w:p>
    <w:p>
      <w:pPr>
        <w:keepNext/>
        <w:spacing w:before="200" w:after="80"/>
      </w:pPr>
      <w:r>
        <w:rPr>
          <w:rFonts w:ascii="Segoe UI Symbol" w:hAnsi="Segoe UI Symbol"/>
        </w:rPr>
        <w:t xml:space="preserve">☐  </w:t>
      </w:r>
      <w:r>
        <w:rPr>
          <w:b/>
        </w:rPr>
        <w:t xml:space="preserve">3.1  </w:t>
      </w:r>
      <w:r>
        <w:rPr>
          <w:b/>
        </w:rPr>
        <w:t xml:space="preserve">Inspection boundaries</w:t>
      </w:r>
      <w:r>
        <w:t xml:space="preserve"> — Optional (MAY)</w:t>
      </w:r>
    </w:p>
    <w:p>
      <w:pPr>
        <w:spacing w:before="0" w:after="120"/>
        <w:ind w:left="540"/>
      </w:pPr>
      <w:r>
        <w:t xml:space="preserve">If selected, check reasonable times and intervals and the highly confidential proprietary information/facilities exception. Reconcile books, records, facilities and information access with the separate restrictions actually selected; do not promise unrestricted access.</w:t>
      </w:r>
    </w:p>
    <w:p>
      <w:pPr>
        <w:keepNext/>
        <w:spacing w:before="360" w:after="160"/>
      </w:pPr>
      <w:r>
        <w:rPr>
          <w:b/>
          <w:sz w:val="28"/>
          <w:szCs w:val="28"/>
        </w:rPr>
        <w:t xml:space="preserve">4. Board Materials</w:t>
      </w:r>
    </w:p>
    <w:p>
      <w:pPr>
        <w:keepNext/>
        <w:spacing w:before="200" w:after="80"/>
      </w:pPr>
      <w:r>
        <w:rPr>
          <w:rFonts w:ascii="Segoe UI Symbol" w:hAnsi="Segoe UI Symbol"/>
        </w:rPr>
        <w:t xml:space="preserve">☐  </w:t>
      </w:r>
      <w:r>
        <w:rPr>
          <w:b/>
        </w:rPr>
        <w:t xml:space="preserve">4.1  </w:t>
      </w:r>
      <w:r>
        <w:rPr>
          <w:b/>
        </w:rPr>
        <w:t xml:space="preserve">Board materials and representative access</w:t>
      </w:r>
      <w:r>
        <w:t xml:space="preserve"> — Optional (MAY)</w:t>
      </w:r>
    </w:p>
    <w:p>
      <w:pPr>
        <w:spacing w:before="0" w:after="120"/>
        <w:ind w:left="540"/>
      </w:pPr>
      <w:r>
        <w:t xml:space="preserve">If selected and the investor lacks board representation, check that its representative receives notices, minutes, consents and other director materials concurrently with the board. Preserve exclusions only on a good-faith, counsel-advised determination that they are reasonably necessary for privilege, highly confidential proprietary information or similar reasons. Preserve the opportunity to address the board upon reasonable notice at a scheduled meeting or another time the board selects. Flag delayed delivery, an exclusion without the stated determination or access wording inconsistent with a selected observer/nomination restriction.</w:t>
      </w:r>
    </w:p>
    <w:p>
      <w:pPr>
        <w:keepNext/>
        <w:spacing w:before="360" w:after="160"/>
      </w:pPr>
      <w:r>
        <w:rPr>
          <w:b/>
          <w:sz w:val="28"/>
          <w:szCs w:val="28"/>
        </w:rPr>
        <w:t xml:space="preserve">5. Foreign-Person Restrictions</w:t>
      </w:r>
    </w:p>
    <w:p>
      <w:pPr>
        <w:keepNext/>
        <w:spacing w:before="200" w:after="80"/>
      </w:pPr>
      <w:r>
        <w:rPr>
          <w:rFonts w:ascii="Segoe UI Symbol" w:hAnsi="Segoe UI Symbol"/>
        </w:rPr>
        <w:t xml:space="preserve">☐  </w:t>
      </w:r>
      <w:r>
        <w:rPr>
          <w:b/>
        </w:rPr>
        <w:t xml:space="preserve">5.1  </w:t>
      </w:r>
      <w:r>
        <w:rPr>
          <w:b/>
        </w:rPr>
        <w:t xml:space="preserve">Selected restrictions and regulatory predicates</w:t>
      </w:r>
      <w:r>
        <w:t xml:space="preserve"> — Optional (MAY)</w:t>
      </w:r>
    </w:p>
    <w:p>
      <w:pPr>
        <w:spacing w:before="0" w:after="120"/>
        <w:ind w:left="540"/>
      </w:pPr>
      <w:r>
        <w:t xml:space="preserve">If selected, check that paragraph 4 excludes the specified control, board membership/observer/nomination, technical-information and substantive-decisionmaking rights arising solely from the letter. Preserve the exception for voting shares within the substantive-decisionmaking restriction. Flag language in paragraphs 1–3 that grants the same rights the selected restriction excludes, and resolve the conflicting terms before execution. Preserve any selected financial-information and consultation carve-out. Obtain a fact-specific review of investor and business status and the rights actually granted; do not infer CFIUS jurisdiction, a filing result, an exemption or VCOC qualification from the form.</w:t>
      </w:r>
    </w:p>
    <w:p>
      <w:pPr>
        <w:keepNext/>
        <w:spacing w:before="360" w:after="160"/>
      </w:pPr>
      <w:r>
        <w:rPr>
          <w:b/>
          <w:sz w:val="28"/>
          <w:szCs w:val="28"/>
        </w:rPr>
        <w:t xml:space="preserve">6. Confidentiality</w:t>
      </w:r>
    </w:p>
    <w:p>
      <w:pPr>
        <w:keepNext/>
        <w:spacing w:before="200" w:after="80"/>
      </w:pPr>
      <w:r>
        <w:rPr>
          <w:rFonts w:ascii="Segoe UI Symbol" w:hAnsi="Segoe UI Symbol"/>
        </w:rPr>
        <w:t xml:space="preserve">☐  </w:t>
      </w:r>
      <w:r>
        <w:rPr>
          <w:b/>
        </w:rPr>
        <w:t xml:space="preserve">6.1  </w:t>
      </w:r>
      <w:r>
        <w:rPr>
          <w:b/>
        </w:rPr>
        <w:t xml:space="preserve">Confidentiality incorporation</w:t>
      </w:r>
      <w:r>
        <w:t xml:space="preserve"> — Recommended (SHOULD)</w:t>
      </w:r>
    </w:p>
    <w:p>
      <w:pPr>
        <w:spacing w:before="0" w:after="120"/>
        <w:ind w:left="540"/>
      </w:pPr>
      <w:r>
        <w:t xml:space="preserve">Identify the dated Investors’ Rights Agreement and confirm the investor is bound. If it is not a party, supply the confidentiality provisions in the letter as the NVCA note recommends; review their actual scope and survival.</w:t>
      </w:r>
    </w:p>
    <w:p>
      <w:pPr>
        <w:keepNext/>
        <w:spacing w:before="360" w:after="160"/>
      </w:pPr>
      <w:r>
        <w:rPr>
          <w:b/>
          <w:sz w:val="28"/>
          <w:szCs w:val="28"/>
        </w:rPr>
        <w:t xml:space="preserve">7. Termination and Execution</w:t>
      </w:r>
    </w:p>
    <w:p>
      <w:pPr>
        <w:keepNext/>
        <w:spacing w:before="200" w:after="80"/>
      </w:pPr>
      <w:r>
        <w:rPr>
          <w:rFonts w:ascii="Segoe UI Symbol" w:hAnsi="Segoe UI Symbol"/>
        </w:rPr>
        <w:t xml:space="preserve">☐  </w:t>
      </w:r>
      <w:r>
        <w:rPr>
          <w:b/>
        </w:rPr>
        <w:t xml:space="preserve">7.1  </w:t>
      </w:r>
      <w:r>
        <w:rPr>
          <w:b/>
        </w:rPr>
        <w:t xml:space="preserve">Termination and confidentiality survival</w:t>
      </w:r>
      <w:r>
        <w:t xml:space="preserve"> — Recommended (SHOULD)</w:t>
      </w:r>
    </w:p>
    <w:p>
      <w:pPr>
        <w:spacing w:before="0" w:after="120"/>
        <w:ind w:left="540"/>
      </w:pPr>
      <w:r>
        <w:t xml:space="preserve">Check investor and affiliate holdings, the precise offering trigger and the selected merger/consolidation conditions. Resolve the comparable-rights or listed-securities/cash alternative without assuming every merger terminates the rights. Preserve confidentiality survival.</w:t>
      </w:r>
    </w:p>
    <w:p>
      <w:pPr>
        <w:keepNext/>
        <w:spacing w:before="200" w:after="80"/>
      </w:pPr>
      <w:r>
        <w:rPr>
          <w:rFonts w:ascii="Segoe UI Symbol" w:hAnsi="Segoe UI Symbol"/>
        </w:rPr>
        <w:t xml:space="preserve">☐  </w:t>
      </w:r>
      <w:r>
        <w:rPr>
          <w:b/>
        </w:rPr>
        <w:t xml:space="preserve">7.2  </w:t>
      </w:r>
      <w:r>
        <w:rPr>
          <w:b/>
        </w:rPr>
        <w:t xml:space="preserve">Company and investor execution</w:t>
      </w:r>
      <w:r>
        <w:t xml:space="preserve"> — Recommended (SHOULD)</w:t>
      </w:r>
    </w:p>
    <w:p>
      <w:pPr>
        <w:spacing w:before="0" w:after="120"/>
        <w:ind w:left="540"/>
      </w:pPr>
      <w:r>
        <w:t xml:space="preserve">Reconcile letterhead, investor addressee, effective purchase and company/investor signature roles. Confirm signatory names, titles and authority against the actual entities; do not rely solely on bracket labels in the model signature specimen.</w:t>
      </w:r>
    </w:p>
    <w:p>
      <w:pPr>
        <w:spacing w:before="0" w:after="120"/>
      </w:pPr>
      <w:r>
        <w:t xml:space="preserve">Original explanation: CC BY 4.0. Quoted NVCA materials retain their original rights.</w:t>
      </w:r>
    </w:p>
    <w:p>
      <w:pPr>
        <w:spacing w:before="360" w:after="0"/>
      </w:pPr>
      <w:r>
        <w:rPr>
          <w:color w:val="666666"/>
          <w:sz w:val="16"/>
          <w:szCs w:val="16"/>
        </w:rPr>
        <w:t xml:space="preserve">Steven Obiajulu, J.D. edits this reviewer checklist for July 2020 NVCA model; conditional VCOC and CFIUS context coverage. It synthesizes legal sources and is not legal advice. This article is for informational purposes only and does not create an attorney-client relationship.</w:t>
      </w:r>
    </w:p>
    <w:sectPr>
      <w:pgSz w:w="12240" w:h="15840"/>
      <w:pgMar w:top="1440" w:right="1440" w:bottom="1440" w:left="1440"/>
    </w:sectPr>
  </w:body>
</w:document>
</file>

<file path=word/styles.xml><?xml version="1.0" encoding="utf-8"?>
<w:styles xmlns:w="http://schemas.openxmlformats.org/wordprocessingml/2006/main">
  <w:docDefaults>
    <w:rPrDefault>
      <w:rPr>
        <w:rFonts w:ascii="Calibri" w:hAnsi="Calibri"/>
        <w:sz w:val="22"/>
        <w:szCs w:val="22"/>
      </w:rPr>
    </w:rPrDefault>
    <w:pPrDefault>
      <w:pPr>
        <w:spacing w:after="120" w:line="276" w:lineRule="auto"/>
      </w:pPr>
    </w:pPrDefault>
  </w:docDefaults>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