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120"/>
      </w:pPr>
      <w:r>
        <w:rPr>
          <w:b/>
          <w:sz w:val="48"/>
          <w:szCs w:val="48"/>
        </w:rPr>
        <w:t xml:space="preserve">NVCA Voting Agreement Reviewer Checklist</w:t>
      </w:r>
    </w:p>
    <w:p>
      <w:pPr>
        <w:spacing w:before="0" w:after="120"/>
      </w:pPr>
      <w:r>
        <w:rPr>
          <w:i/>
          <w:color w:val="444444"/>
        </w:rPr>
        <w:t xml:space="preserve">Review selected June 2026 NVCA voting provisions for designation rights, sale safeguards, termination, joinders and amendment consents.</w:t>
      </w:r>
    </w:p>
    <w:p>
      <w:pPr>
        <w:spacing w:before="0" w:after="240"/>
      </w:pPr>
      <w:r>
        <w:rPr>
          <w:color w:val="666666"/>
          <w:sz w:val="18"/>
          <w:szCs w:val="18"/>
        </w:rPr>
        <w:t xml:space="preserve">By Steven Obiajulu, J.D. Last reviewed 2026-09-16. License: CC BY 4.0. https://openagreements.org/checklists/venture-financing/nvca-voting-agreement</w:t>
      </w:r>
    </w:p>
    <w:p>
      <w:pPr>
        <w:keepNext/>
        <w:spacing w:before="360" w:after="160"/>
      </w:pPr>
      <w:r>
        <w:rPr>
          <w:b/>
          <w:sz w:val="28"/>
          <w:szCs w:val="28"/>
        </w:rPr>
        <w:t xml:space="preserve">1. Parties and Definitions</w:t>
      </w:r>
    </w:p>
    <w:p>
      <w:pPr>
        <w:spacing w:before="0" w:after="120"/>
      </w:pPr>
      <w:r>
        <w:t xml:space="preserve">Review the June 2026 NVCA Voting Agreement for a Delaware corporation from the affected holder’s perspective. See the </w:t>
      </w:r>
      <w:r>
        <w:t xml:space="preserve">practice guide</w:t>
      </w:r>
      <w:r>
        <w:t xml:space="preserve"> for the model terms and Delaware General Corporation Law context.</w:t>
      </w:r>
    </w:p>
    <w:p>
      <w:pPr>
        <w:keepNext/>
        <w:spacing w:before="200" w:after="80"/>
      </w:pPr>
      <w:r>
        <w:rPr>
          <w:rFonts w:ascii="Segoe UI Symbol" w:hAnsi="Segoe UI Symbol"/>
        </w:rPr>
        <w:t xml:space="preserve">☐  </w:t>
      </w:r>
      <w:r>
        <w:rPr>
          <w:b/>
        </w:rPr>
        <w:t xml:space="preserve">1.1  </w:t>
      </w:r>
      <w:r>
        <w:rPr>
          <w:b/>
        </w:rPr>
        <w:t xml:space="preserve">Parties, schedules and voting definitions</w:t>
      </w:r>
      <w:r>
        <w:t xml:space="preserve"> — Recommended (SHOULD)</w:t>
      </w:r>
    </w:p>
    <w:p>
      <w:pPr>
        <w:spacing w:before="0" w:after="120"/>
        <w:ind w:left="540"/>
      </w:pPr>
      <w:r>
        <w:t xml:space="preserve">Match the company and party names, financing recital and charter voting recital to the closing documents; flag inconsistent names, voting classes or schedules. Reconcile Investors, Key Holders, Qualified Key Holders and other Stockholders with Schedules A, B and C, and resolve the selected service conditions and Requisite Holder threshold without inventing a percentage. Check that Shares includes the described later-acquired securities and Sale of the Company uses the stated stock-sale or Deemed Liquidation Event tests; reconcile Affiliate and Side Letters cross-references with the actual transaction documents.</w:t>
      </w:r>
    </w:p>
    <w:p>
      <w:pPr>
        <w:keepNext/>
        <w:spacing w:before="360" w:after="160"/>
      </w:pPr>
      <w:r>
        <w:rPr>
          <w:b/>
          <w:sz w:val="28"/>
          <w:szCs w:val="28"/>
        </w:rPr>
        <w:t xml:space="preserve">2. Board Seats</w:t>
      </w:r>
    </w:p>
    <w:p>
      <w:pPr>
        <w:keepNext/>
        <w:spacing w:before="200" w:after="80"/>
      </w:pPr>
      <w:r>
        <w:rPr>
          <w:rFonts w:ascii="Segoe UI Symbol" w:hAnsi="Segoe UI Symbol"/>
        </w:rPr>
        <w:t xml:space="preserve">☐  </w:t>
      </w:r>
      <w:r>
        <w:rPr>
          <w:b/>
        </w:rPr>
        <w:t xml:space="preserve">2.1  </w:t>
      </w:r>
      <w:r>
        <w:rPr>
          <w:b/>
        </w:rPr>
        <w:t xml:space="preserve">Preferred-seat eligibility</w:t>
      </w:r>
      <w:r>
        <w:t xml:space="preserve"> — Recommended (SHOULD)</w:t>
      </w:r>
    </w:p>
    <w:p>
      <w:pPr>
        <w:spacing w:before="0" w:after="120"/>
        <w:ind w:left="540"/>
      </w:pPr>
      <w:r>
        <w:t xml:space="preserve">Identify the selected preferred-seat arrangement, named designator and initial nominee. Complete the minimum share count or as-converted percentage and preserve its sanctions condition. Flag an unresolved alternative, missing threshold or change in the ownership test; the model supplies no populated percentage.</w:t>
      </w:r>
    </w:p>
    <w:p>
      <w:pPr>
        <w:keepNext/>
        <w:spacing w:before="200" w:after="80"/>
      </w:pPr>
      <w:r>
        <w:rPr>
          <w:rFonts w:ascii="Segoe UI Symbol" w:hAnsi="Segoe UI Symbol"/>
        </w:rPr>
        <w:t xml:space="preserve">☐  </w:t>
      </w:r>
      <w:r>
        <w:rPr>
          <w:b/>
        </w:rPr>
        <w:t xml:space="preserve">2.2  </w:t>
      </w:r>
      <w:r>
        <w:rPr>
          <w:b/>
        </w:rPr>
        <w:t xml:space="preserve">Common-seat designation</w:t>
      </w:r>
      <w:r>
        <w:t xml:space="preserve"> — Recommended (SHOULD)</w:t>
      </w:r>
    </w:p>
    <w:p>
      <w:pPr>
        <w:spacing w:before="0" w:after="120"/>
        <w:ind w:left="540"/>
      </w:pPr>
      <w:r>
        <w:t xml:space="preserve">Identify whether the common seat follows designation by Qualified Key Holders or the named director’s selected service conditions. Check who can name a replacement and when eligibility ends. Flag a draft that leaves both alternatives active or omits the agreed replacement arrangement.</w:t>
      </w:r>
    </w:p>
    <w:p>
      <w:pPr>
        <w:keepNext/>
        <w:spacing w:before="200" w:after="80"/>
      </w:pPr>
      <w:r>
        <w:rPr>
          <w:rFonts w:ascii="Segoe UI Symbol" w:hAnsi="Segoe UI Symbol"/>
        </w:rPr>
        <w:t xml:space="preserve">☐  </w:t>
      </w:r>
      <w:r>
        <w:rPr>
          <w:b/>
        </w:rPr>
        <w:t xml:space="preserve">2.3  </w:t>
      </w:r>
      <w:r>
        <w:rPr>
          <w:b/>
        </w:rPr>
        <w:t xml:space="preserve">Optional CEO seat</w:t>
      </w:r>
      <w:r>
        <w:t xml:space="preserve"> — Optional (MAY)</w:t>
      </w:r>
    </w:p>
    <w:p>
      <w:pPr>
        <w:spacing w:before="0" w:after="120"/>
        <w:ind w:left="540"/>
      </w:pPr>
      <w:r>
        <w:t xml:space="preserve">If the CEO-seat provision is selected, check that it follows the current CEO and requires a vote to remove the former CEO if that person has not resigned. Flag language that preserves the former CEO’s seat despite the selected office-based arrangement.</w:t>
      </w:r>
    </w:p>
    <w:p>
      <w:pPr>
        <w:keepNext/>
        <w:spacing w:before="200" w:after="80"/>
      </w:pPr>
      <w:r>
        <w:rPr>
          <w:rFonts w:ascii="Segoe UI Symbol" w:hAnsi="Segoe UI Symbol"/>
        </w:rPr>
        <w:t xml:space="preserve">☐  </w:t>
      </w:r>
      <w:r>
        <w:rPr>
          <w:b/>
        </w:rPr>
        <w:t xml:space="preserve">2.4  </w:t>
      </w:r>
      <w:r>
        <w:rPr>
          <w:b/>
        </w:rPr>
        <w:t xml:space="preserve">Election when designation does not apply</w:t>
      </w:r>
      <w:r>
        <w:t xml:space="preserve"> — Recommended (SHOULD)</w:t>
      </w:r>
    </w:p>
    <w:p>
      <w:pPr>
        <w:spacing w:before="0" w:after="120"/>
        <w:ind w:left="540"/>
      </w:pPr>
      <w:r>
        <w:t xml:space="preserve">Check that an inapplicable designation or one that would violate applicable sanctions returns the election to the holders entitled to vote under the Restated Certificate. Flag a fallback naming a different electorate.</w:t>
      </w:r>
    </w:p>
    <w:p>
      <w:pPr>
        <w:keepNext/>
        <w:spacing w:before="200" w:after="80"/>
      </w:pPr>
      <w:r>
        <w:rPr>
          <w:rFonts w:ascii="Segoe UI Symbol" w:hAnsi="Segoe UI Symbol"/>
        </w:rPr>
        <w:t xml:space="preserve">☐  </w:t>
      </w:r>
      <w:r>
        <w:rPr>
          <w:b/>
        </w:rPr>
        <w:t xml:space="preserve">2.5  </w:t>
      </w:r>
      <w:r>
        <w:rPr>
          <w:b/>
        </w:rPr>
        <w:t xml:space="preserve">Optional Mutual Director</w:t>
      </w:r>
      <w:r>
        <w:t xml:space="preserve"> — Optional (MAY)</w:t>
      </w:r>
    </w:p>
    <w:p>
      <w:pPr>
        <w:spacing w:before="0" w:after="120"/>
        <w:ind w:left="540"/>
      </w:pPr>
      <w:r>
        <w:t xml:space="preserve">If selected, complete the Mutual Director’s identity and non-affiliation condition. Compare mutual agreement for designation with the selected removal vote so that the two mechanisms implement the agreed allocation of control.</w:t>
      </w:r>
    </w:p>
    <w:p>
      <w:pPr>
        <w:keepNext/>
        <w:spacing w:before="360" w:after="160"/>
      </w:pPr>
      <w:r>
        <w:rPr>
          <w:b/>
          <w:sz w:val="28"/>
          <w:szCs w:val="28"/>
        </w:rPr>
        <w:t xml:space="preserve">3. Vacancies and Action</w:t>
      </w:r>
    </w:p>
    <w:p>
      <w:pPr>
        <w:keepNext/>
        <w:spacing w:before="200" w:after="80"/>
      </w:pPr>
      <w:r>
        <w:rPr>
          <w:rFonts w:ascii="Segoe UI Symbol" w:hAnsi="Segoe UI Symbol"/>
        </w:rPr>
        <w:t xml:space="preserve">☐  </w:t>
      </w:r>
      <w:r>
        <w:rPr>
          <w:b/>
        </w:rPr>
        <w:t xml:space="preserve">3.1  </w:t>
      </w:r>
      <w:r>
        <w:rPr>
          <w:b/>
        </w:rPr>
        <w:t xml:space="preserve">Vacancy and director-change records</w:t>
      </w:r>
      <w:r>
        <w:t xml:space="preserve"> — Recommended (SHOULD)</w:t>
      </w:r>
    </w:p>
    <w:p>
      <w:pPr>
        <w:spacing w:before="0" w:after="120"/>
        <w:ind w:left="540"/>
      </w:pPr>
      <w:r>
        <w:t xml:space="preserve">Follow the selected Section 1.2 appointment mechanism for a vacancy. If board filling is negotiated, review the charter, bylaws and DGCL Section 223 before changing Section 1.3. Obtain actual resignation/removal and election records; check required consents and the Section 1.5 meeting request. Do not treat cessation of attendance as the completed change.</w:t>
      </w:r>
    </w:p>
    <w:p>
      <w:pPr>
        <w:keepNext/>
        <w:spacing w:before="360" w:after="160"/>
      </w:pPr>
      <w:r>
        <w:rPr>
          <w:b/>
          <w:sz w:val="28"/>
          <w:szCs w:val="28"/>
        </w:rPr>
        <w:t xml:space="preserve">4. Director Removal</w:t>
      </w:r>
    </w:p>
    <w:p>
      <w:pPr>
        <w:keepNext/>
        <w:spacing w:before="200" w:after="80"/>
      </w:pPr>
      <w:r>
        <w:rPr>
          <w:rFonts w:ascii="Segoe UI Symbol" w:hAnsi="Segoe UI Symbol"/>
        </w:rPr>
        <w:t xml:space="preserve">☐  </w:t>
      </w:r>
      <w:r>
        <w:rPr>
          <w:b/>
        </w:rPr>
        <w:t xml:space="preserve">4.1  </w:t>
      </w:r>
      <w:r>
        <w:rPr>
          <w:b/>
        </w:rPr>
        <w:t xml:space="preserve">Removal triggers and protected seats</w:t>
      </w:r>
      <w:r>
        <w:t xml:space="preserve"> — Recommended (SHOULD)</w:t>
      </w:r>
    </w:p>
    <w:p>
      <w:pPr>
        <w:spacing w:before="0" w:after="120"/>
        <w:ind w:left="540"/>
      </w:pPr>
      <w:r>
        <w:t xml:space="preserve">Compare the selected removal triggers with the Section 1.2 designators and eligibility conditions: relevant written requests, the Mutual Director vote, loss of eligibility and sanctions. Preserve the separate restriction on removal outside Section 1.4(a) or after the designation provision ends, and resolve the for-cause election. Flag a change that gives another constituency removal power.</w:t>
      </w:r>
    </w:p>
    <w:p>
      <w:pPr>
        <w:keepNext/>
        <w:spacing w:before="360" w:after="160"/>
      </w:pPr>
      <w:r>
        <w:rPr>
          <w:b/>
          <w:sz w:val="28"/>
          <w:szCs w:val="28"/>
        </w:rPr>
        <w:t xml:space="preserve">5. Designation Liability</w:t>
      </w:r>
    </w:p>
    <w:p>
      <w:pPr>
        <w:keepNext/>
        <w:spacing w:before="200" w:after="80"/>
      </w:pPr>
      <w:r>
        <w:rPr>
          <w:rFonts w:ascii="Segoe UI Symbol" w:hAnsi="Segoe UI Symbol"/>
        </w:rPr>
        <w:t xml:space="preserve">☐  </w:t>
      </w:r>
      <w:r>
        <w:rPr>
          <w:b/>
        </w:rPr>
        <w:t xml:space="preserve">5.1  </w:t>
      </w:r>
      <w:r>
        <w:rPr>
          <w:b/>
        </w:rPr>
        <w:t xml:space="preserve">June 2026 designation-liability wording</w:t>
      </w:r>
      <w:r>
        <w:t xml:space="preserve"> — Recommended (SHOULD)</w:t>
      </w:r>
    </w:p>
    <w:p>
      <w:pPr>
        <w:spacing w:before="0" w:after="120"/>
        <w:ind w:left="540"/>
      </w:pPr>
      <w:r>
        <w:t xml:space="preserve">Compare Section 1.6 with the June 2026 wording covering designation, voting for the designee and the designee’s acts or omissions as a director, for both stockholders and affiliates. Flag an older or differently scoped clause for review without treating the model’s wording as a determination that liability is eliminated.</w:t>
      </w:r>
    </w:p>
    <w:p>
      <w:pPr>
        <w:keepNext/>
        <w:spacing w:before="360" w:after="160"/>
      </w:pPr>
      <w:r>
        <w:rPr>
          <w:b/>
          <w:sz w:val="28"/>
          <w:szCs w:val="28"/>
        </w:rPr>
        <w:t xml:space="preserve">6. Conversion Capacity</w:t>
      </w:r>
    </w:p>
    <w:p>
      <w:pPr>
        <w:keepNext/>
        <w:spacing w:before="200" w:after="80"/>
      </w:pPr>
      <w:r>
        <w:rPr>
          <w:rFonts w:ascii="Segoe UI Symbol" w:hAnsi="Segoe UI Symbol"/>
        </w:rPr>
        <w:t xml:space="preserve">☐  </w:t>
      </w:r>
      <w:r>
        <w:rPr>
          <w:b/>
        </w:rPr>
        <w:t xml:space="preserve">6.1  </w:t>
      </w:r>
      <w:r>
        <w:rPr>
          <w:b/>
        </w:rPr>
        <w:t xml:space="preserve">Authorized common-share vote</w:t>
      </w:r>
      <w:r>
        <w:t xml:space="preserve"> — Recommended (SHOULD)</w:t>
      </w:r>
    </w:p>
    <w:p>
      <w:pPr>
        <w:spacing w:before="0" w:after="120"/>
        <w:ind w:left="540"/>
      </w:pPr>
      <w:r>
        <w:t xml:space="preserve">Compare the authorized common count with conversion requirements for all outstanding preferred shares. Preserve the Section 2 voting commitment and the Section 4.1 meeting-request mechanism; identify the consents or meeting action needed to implement the increase.</w:t>
      </w:r>
    </w:p>
    <w:p>
      <w:pPr>
        <w:keepNext/>
        <w:spacing w:before="360" w:after="160"/>
      </w:pPr>
      <w:r>
        <w:rPr>
          <w:b/>
          <w:sz w:val="28"/>
          <w:szCs w:val="28"/>
        </w:rPr>
        <w:t xml:space="preserve">7. Required Sale</w:t>
      </w:r>
    </w:p>
    <w:p>
      <w:pPr>
        <w:keepNext/>
        <w:spacing w:before="200" w:after="80"/>
      </w:pPr>
      <w:r>
        <w:rPr>
          <w:rFonts w:ascii="Segoe UI Symbol" w:hAnsi="Segoe UI Symbol"/>
        </w:rPr>
        <w:t xml:space="preserve">☐  </w:t>
      </w:r>
      <w:r>
        <w:rPr>
          <w:b/>
        </w:rPr>
        <w:t xml:space="preserve">7.1  </w:t>
      </w:r>
      <w:r>
        <w:rPr>
          <w:b/>
        </w:rPr>
        <w:t xml:space="preserve">Drag-along approval package</w:t>
      </w:r>
      <w:r>
        <w:t xml:space="preserve"> — Recommended (SHOULD)</w:t>
      </w:r>
    </w:p>
    <w:p>
      <w:pPr>
        <w:spacing w:before="0" w:after="120"/>
        <w:ind w:left="540"/>
      </w:pPr>
      <w:r>
        <w:t xml:space="preserve">Complete the Selling Investors percentage and denominator. Resolve the Qualified Key Holder and board approval elections, preserve the required written approval and express invocation of Section 3, and retain the condition that every Section 3.2 safeguard is satisfied. Flag a sale approval that is treated as sufficient without that invocation or those safeguards.</w:t>
      </w:r>
      <w:r>
        <w:t xml:space="preserve"> Review board conflicts where preferred and common interests diverge. </w:t>
      </w:r>
      <w:r>
        <w:rPr>
          <w:i/>
        </w:rPr>
        <w:t xml:space="preserve">Trados</w:t>
      </w:r>
      <w:r>
        <w:t xml:space="preserve"> is a fact-specific review flag, not a rule that a board drag trigger creates liability.</w:t>
      </w:r>
    </w:p>
    <w:p>
      <w:pPr>
        <w:keepNext/>
        <w:spacing w:before="200" w:after="80"/>
      </w:pPr>
      <w:r>
        <w:rPr>
          <w:rFonts w:ascii="Segoe UI Symbol" w:hAnsi="Segoe UI Symbol"/>
        </w:rPr>
        <w:t xml:space="preserve">☐  </w:t>
      </w:r>
      <w:r>
        <w:rPr>
          <w:b/>
        </w:rPr>
        <w:t xml:space="preserve">7.2  </w:t>
      </w:r>
      <w:r>
        <w:rPr>
          <w:b/>
        </w:rPr>
        <w:t xml:space="preserve">Holder representations</w:t>
      </w:r>
      <w:r>
        <w:t xml:space="preserve"> — Recommended (SHOULD)</w:t>
      </w:r>
    </w:p>
    <w:p>
      <w:pPr>
        <w:spacing w:before="0" w:after="120"/>
        <w:ind w:left="540"/>
      </w:pPr>
      <w:r>
        <w:t xml:space="preserve">Check that a dragged holder’s representations are several, not joint, and limited to authority, ownership and ability to convey title, including the listed authorization, execution and no-conflict matters. Flag business representations imposed on the holder beyond that scope.</w:t>
      </w:r>
    </w:p>
    <w:p>
      <w:pPr>
        <w:keepNext/>
        <w:spacing w:before="200" w:after="80"/>
      </w:pPr>
      <w:r>
        <w:rPr>
          <w:rFonts w:ascii="Segoe UI Symbol" w:hAnsi="Segoe UI Symbol"/>
        </w:rPr>
        <w:t xml:space="preserve">☐  </w:t>
      </w:r>
      <w:r>
        <w:rPr>
          <w:b/>
        </w:rPr>
        <w:t xml:space="preserve">7.3  </w:t>
      </w:r>
      <w:r>
        <w:rPr>
          <w:b/>
        </w:rPr>
        <w:t xml:space="preserve">Restrictive covenants and releases</w:t>
      </w:r>
      <w:r>
        <w:t xml:space="preserve"> — Recommended (SHOULD)</w:t>
      </w:r>
    </w:p>
    <w:p>
      <w:pPr>
        <w:spacing w:before="0" w:after="120"/>
        <w:ind w:left="540"/>
      </w:pPr>
      <w:r>
        <w:t xml:space="preserve">For a holder who is not a company officer, director or employee, preserve the condition against required restrictive covenants and releases beyond the customary stockholder-capacity release. Flag a broader release or noncompete demanded from that holder; identify the holder’s company role before applying the exception.</w:t>
      </w:r>
    </w:p>
    <w:p>
      <w:pPr>
        <w:keepNext/>
        <w:spacing w:before="200" w:after="80"/>
      </w:pPr>
      <w:r>
        <w:rPr>
          <w:rFonts w:ascii="Segoe UI Symbol" w:hAnsi="Segoe UI Symbol"/>
        </w:rPr>
        <w:t xml:space="preserve">☐  </w:t>
      </w:r>
      <w:r>
        <w:rPr>
          <w:b/>
        </w:rPr>
        <w:t xml:space="preserve">7.4  </w:t>
      </w:r>
      <w:r>
        <w:rPr>
          <w:b/>
        </w:rPr>
        <w:t xml:space="preserve">Other commercial relationships</w:t>
      </w:r>
      <w:r>
        <w:t xml:space="preserve"> — Recommended (SHOULD)</w:t>
      </w:r>
    </w:p>
    <w:p>
      <w:pPr>
        <w:spacing w:before="0" w:after="120"/>
        <w:ind w:left="540"/>
      </w:pPr>
      <w:r>
        <w:t xml:space="preserve">Check that the holder and its affiliates need not amend, extend or terminate other relationships with the company, acquirer or their affiliates, except for termination of investment-related documents. Flag a sale condition requiring changes to another commercial relationship.</w:t>
      </w:r>
    </w:p>
    <w:p>
      <w:pPr>
        <w:keepNext/>
        <w:spacing w:before="200" w:after="80"/>
      </w:pPr>
      <w:r>
        <w:rPr>
          <w:rFonts w:ascii="Segoe UI Symbol" w:hAnsi="Segoe UI Symbol"/>
        </w:rPr>
        <w:t xml:space="preserve">☐  </w:t>
      </w:r>
      <w:r>
        <w:rPr>
          <w:b/>
        </w:rPr>
        <w:t xml:space="preserve">7.5  </w:t>
      </w:r>
      <w:r>
        <w:rPr>
          <w:b/>
        </w:rPr>
        <w:t xml:space="preserve">Other breaches and indemnity cap</w:t>
      </w:r>
      <w:r>
        <w:t xml:space="preserve"> — Recommended (SHOULD)</w:t>
      </w:r>
    </w:p>
    <w:p>
      <w:pPr>
        <w:spacing w:before="0" w:after="120"/>
        <w:ind w:left="540"/>
      </w:pPr>
      <w:r>
        <w:t xml:space="preserve">Preserve the distinction between the holder’s liability and another person’s breach, the company exception and any selected escrow exception. Check that the holder’s allocated indemnity share follows relative proceeds and does not exceed its stockholder-capacity consideration, except for its own fraud. Flag joint exposure or an enlarged exception.</w:t>
      </w:r>
    </w:p>
    <w:p>
      <w:pPr>
        <w:keepNext/>
        <w:spacing w:before="200" w:after="80"/>
      </w:pPr>
      <w:r>
        <w:rPr>
          <w:rFonts w:ascii="Segoe UI Symbol" w:hAnsi="Segoe UI Symbol"/>
        </w:rPr>
        <w:t xml:space="preserve">☐  </w:t>
      </w:r>
      <w:r>
        <w:rPr>
          <w:b/>
        </w:rPr>
        <w:t xml:space="preserve">7.6  </w:t>
      </w:r>
      <w:r>
        <w:rPr>
          <w:b/>
        </w:rPr>
        <w:t xml:space="preserve">Consideration and charter allocation</w:t>
      </w:r>
      <w:r>
        <w:t xml:space="preserve"> — Recommended (SHOULD)</w:t>
      </w:r>
    </w:p>
    <w:p>
      <w:pPr>
        <w:spacing w:before="0" w:after="120"/>
        <w:ind w:left="540"/>
      </w:pPr>
      <w:r>
        <w:t xml:space="preserve">Check equal form within each class or series, equal amount per share within each preferred series and within common, and allocation under the charter’s liquidation preferences subject to the stated waiver and legal qualifications. Preserve the limited securities-to-cash substitution and good-faith board valuation; flag a broader substitution or inconsistent waterfall.</w:t>
      </w:r>
    </w:p>
    <w:p>
      <w:pPr>
        <w:keepNext/>
        <w:spacing w:before="200" w:after="80"/>
      </w:pPr>
      <w:r>
        <w:rPr>
          <w:rFonts w:ascii="Segoe UI Symbol" w:hAnsi="Segoe UI Symbol"/>
        </w:rPr>
        <w:t xml:space="preserve">☐  </w:t>
      </w:r>
      <w:r>
        <w:rPr>
          <w:b/>
        </w:rPr>
        <w:t xml:space="preserve">7.7  </w:t>
      </w:r>
      <w:r>
        <w:rPr>
          <w:b/>
        </w:rPr>
        <w:t xml:space="preserve">Optional consideration election</w:t>
      </w:r>
      <w:r>
        <w:t xml:space="preserve"> — Optional (MAY)</w:t>
      </w:r>
    </w:p>
    <w:p>
      <w:pPr>
        <w:spacing w:before="0" w:after="120"/>
        <w:ind w:left="540"/>
      </w:pPr>
      <w:r>
        <w:t xml:space="preserve">If the same-choice provision is selected, check that holders receive the same option when a consideration choice is offered, subject to Section 3.2(f) and generally applicable eligibility conditions. Flag a preference for selected holders or a promise of securities to an ineligible recipient.</w:t>
      </w:r>
    </w:p>
    <w:p>
      <w:pPr>
        <w:keepNext/>
        <w:spacing w:before="360" w:after="160"/>
      </w:pPr>
      <w:r>
        <w:rPr>
          <w:b/>
          <w:sz w:val="28"/>
          <w:szCs w:val="28"/>
        </w:rPr>
        <w:t xml:space="preserve">8. Sale Actions and Waivers</w:t>
      </w:r>
    </w:p>
    <w:p>
      <w:pPr>
        <w:keepNext/>
        <w:spacing w:before="200" w:after="80"/>
      </w:pPr>
      <w:r>
        <w:rPr>
          <w:rFonts w:ascii="Segoe UI Symbol" w:hAnsi="Segoe UI Symbol"/>
        </w:rPr>
        <w:t xml:space="preserve">☐  </w:t>
      </w:r>
      <w:r>
        <w:rPr>
          <w:b/>
        </w:rPr>
        <w:t xml:space="preserve">8.1  </w:t>
      </w:r>
      <w:r>
        <w:rPr>
          <w:b/>
        </w:rPr>
        <w:t xml:space="preserve">Sale deliverables and representative authority</w:t>
      </w:r>
      <w:r>
        <w:t xml:space="preserve"> — Recommended (SHOULD)</w:t>
      </w:r>
    </w:p>
    <w:p>
      <w:pPr>
        <w:spacing w:before="0" w:after="120"/>
        <w:ind w:left="540"/>
      </w:pPr>
      <w:r>
        <w:t xml:space="preserve">After verifying the Section 3.1 approvals and Section 3.2 conditions, compare the required votes, proportional stock sale, supporting documents, SEC filing information and voting-trust restriction with the closing plan. Review securities-to-cash substitution and the stockholder representative’s authority, escrow, expenses and misconduct exceptions; resolve the bracketed gross-negligence choice.</w:t>
      </w:r>
    </w:p>
    <w:p>
      <w:pPr>
        <w:keepNext/>
        <w:spacing w:before="200" w:after="80"/>
      </w:pPr>
      <w:r>
        <w:rPr>
          <w:rFonts w:ascii="Segoe UI Symbol" w:hAnsi="Segoe UI Symbol"/>
        </w:rPr>
        <w:t xml:space="preserve">☐  </w:t>
      </w:r>
      <w:r>
        <w:rPr>
          <w:b/>
        </w:rPr>
        <w:t xml:space="preserve">8.2  </w:t>
      </w:r>
      <w:r>
        <w:rPr>
          <w:b/>
        </w:rPr>
        <w:t xml:space="preserve">Appraisal and fiduciary-claim restrictions</w:t>
      </w:r>
      <w:r>
        <w:t xml:space="preserve"> — Recommended (SHOULD)</w:t>
      </w:r>
    </w:p>
    <w:p>
      <w:pPr>
        <w:spacing w:before="0" w:after="120"/>
        <w:ind w:left="540"/>
      </w:pPr>
      <w:r>
        <w:t xml:space="preserve">Identify the express appraisal waiver separately from the covenant not to sue. Review holder sophistication, information, counsel, bargaining power, consideration and the transaction-specific scope. Flag broad fiduciary waivers or language purporting to protect intentional wrongdoing; do not approve enforceability solely because the form includes the provision.</w:t>
      </w:r>
    </w:p>
    <w:p>
      <w:pPr>
        <w:keepNext/>
        <w:spacing w:before="360" w:after="160"/>
      </w:pPr>
      <w:r>
        <w:rPr>
          <w:b/>
          <w:sz w:val="28"/>
          <w:szCs w:val="28"/>
        </w:rPr>
        <w:t xml:space="preserve">9. Control Sale and Notices</w:t>
      </w:r>
    </w:p>
    <w:p>
      <w:pPr>
        <w:keepNext/>
        <w:spacing w:before="200" w:after="80"/>
      </w:pPr>
      <w:r>
        <w:rPr>
          <w:rFonts w:ascii="Segoe UI Symbol" w:hAnsi="Segoe UI Symbol"/>
        </w:rPr>
        <w:t xml:space="preserve">☐  </w:t>
      </w:r>
      <w:r>
        <w:rPr>
          <w:b/>
        </w:rPr>
        <w:t xml:space="preserve">9.1  </w:t>
      </w:r>
      <w:r>
        <w:rPr>
          <w:b/>
        </w:rPr>
        <w:t xml:space="preserve">Stock Sale participation and allocation</w:t>
      </w:r>
      <w:r>
        <w:t xml:space="preserve"> — Recommended (SHOULD)</w:t>
      </w:r>
    </w:p>
    <w:p>
      <w:pPr>
        <w:spacing w:before="0" w:after="120"/>
        <w:ind w:left="540"/>
      </w:pPr>
      <w:r>
        <w:t xml:space="preserve">Check preferred participation and the charter-based allocation under Section 3.3 even when reviewing a Stock Sale outside the drag mechanism. For a different allocation, identify the charter-waiver percentage, obtain the written election and fill the advance-notice period.</w:t>
      </w:r>
    </w:p>
    <w:p>
      <w:pPr>
        <w:keepNext/>
        <w:spacing w:before="200" w:after="80"/>
      </w:pPr>
      <w:r>
        <w:rPr>
          <w:rFonts w:ascii="Segoe UI Symbol" w:hAnsi="Segoe UI Symbol"/>
        </w:rPr>
        <w:t xml:space="preserve">☐  </w:t>
      </w:r>
      <w:r>
        <w:rPr>
          <w:b/>
        </w:rPr>
        <w:t xml:space="preserve">9.2  </w:t>
      </w:r>
      <w:r>
        <w:rPr>
          <w:b/>
        </w:rPr>
        <w:t xml:space="preserve">Contractual statutory-notice waiver</w:t>
      </w:r>
      <w:r>
        <w:t xml:space="preserve"> — Recommended (SHOULD)</w:t>
      </w:r>
    </w:p>
    <w:p>
      <w:pPr>
        <w:spacing w:before="0" w:after="120"/>
        <w:ind w:left="540"/>
      </w:pPr>
      <w:r>
        <w:t xml:space="preserve">Identify whether Section 3.5 applies to the proposed sale and obtain transaction-specific review of DGCL Sections 228 and 262 notice obligations. Do not infer from the printed waiver that no notices need to be sent.</w:t>
      </w:r>
    </w:p>
    <w:p>
      <w:pPr>
        <w:keepNext/>
        <w:spacing w:before="360" w:after="160"/>
      </w:pPr>
      <w:r>
        <w:rPr>
          <w:b/>
          <w:sz w:val="28"/>
          <w:szCs w:val="28"/>
        </w:rPr>
        <w:t xml:space="preserve">10. Sanctions and Sale</w:t>
      </w:r>
    </w:p>
    <w:p>
      <w:pPr>
        <w:keepNext/>
        <w:spacing w:before="200" w:after="80"/>
      </w:pPr>
      <w:r>
        <w:rPr>
          <w:rFonts w:ascii="Segoe UI Symbol" w:hAnsi="Segoe UI Symbol"/>
        </w:rPr>
        <w:t xml:space="preserve">☐  </w:t>
      </w:r>
      <w:r>
        <w:rPr>
          <w:b/>
        </w:rPr>
        <w:t xml:space="preserve">10.1  </w:t>
      </w:r>
      <w:r>
        <w:rPr>
          <w:b/>
        </w:rPr>
        <w:t xml:space="preserve">Sanctions definitions and voting counts</w:t>
      </w:r>
      <w:r>
        <w:t xml:space="preserve"> — Recommended (SHOULD)</w:t>
      </w:r>
    </w:p>
    <w:p>
      <w:pPr>
        <w:spacing w:before="0" w:after="120"/>
        <w:ind w:left="540"/>
      </w:pPr>
      <w:r>
        <w:t xml:space="preserve">Resolve relevant jurisdictions in the Sanctions definition and check current applicable restrictions, ownership and control when reviewing and closing. Apply the actual Sanctioned Party definition, including its prohibited-dealings limit. Recalculate designation, sale and amendment thresholds where sanctioned holdings are excluded; do not require an action that would cause the stated violation.</w:t>
      </w:r>
    </w:p>
    <w:p>
      <w:pPr>
        <w:keepNext/>
        <w:spacing w:before="360" w:after="160"/>
      </w:pPr>
      <w:r>
        <w:rPr>
          <w:b/>
          <w:sz w:val="28"/>
          <w:szCs w:val="28"/>
        </w:rPr>
        <w:t xml:space="preserve">11. Proxy and Remedies</w:t>
      </w:r>
    </w:p>
    <w:p>
      <w:pPr>
        <w:keepNext/>
        <w:spacing w:before="200" w:after="80"/>
      </w:pPr>
      <w:r>
        <w:rPr>
          <w:rFonts w:ascii="Segoe UI Symbol" w:hAnsi="Segoe UI Symbol"/>
        </w:rPr>
        <w:t xml:space="preserve">☐  </w:t>
      </w:r>
      <w:r>
        <w:rPr>
          <w:b/>
        </w:rPr>
        <w:t xml:space="preserve">11.1  </w:t>
      </w:r>
      <w:r>
        <w:rPr>
          <w:b/>
        </w:rPr>
        <w:t xml:space="preserve">Proxyholders, triggers and authority</w:t>
      </w:r>
      <w:r>
        <w:t xml:space="preserve"> — Recommended (SHOULD)</w:t>
      </w:r>
    </w:p>
    <w:p>
      <w:pPr>
        <w:spacing w:before="0" w:after="120"/>
        <w:ind w:left="540"/>
      </w:pPr>
      <w:r>
        <w:t xml:space="preserve">Complete the proxyholder designations and chosen voting/action scope. Check the company request, five-business-day deadline, inconsistent-action and legal-prohibition triggers before reliance; separately review the documentation power. Assess execution, duration and the legally sufficient interest under DGCL Section 212 rather than treating the irrevocable label as conclusive.</w:t>
      </w:r>
    </w:p>
    <w:p>
      <w:pPr>
        <w:keepNext/>
        <w:spacing w:before="200" w:after="80"/>
      </w:pPr>
      <w:r>
        <w:rPr>
          <w:rFonts w:ascii="Segoe UI Symbol" w:hAnsi="Segoe UI Symbol"/>
        </w:rPr>
        <w:t xml:space="preserve">☐  </w:t>
      </w:r>
      <w:r>
        <w:rPr>
          <w:b/>
        </w:rPr>
        <w:t xml:space="preserve">11.2  </w:t>
      </w:r>
      <w:r>
        <w:rPr>
          <w:b/>
        </w:rPr>
        <w:t xml:space="preserve">Company meeting covenants and enforcement</w:t>
      </w:r>
      <w:r>
        <w:t xml:space="preserve"> — Recommended (SHOULD)</w:t>
      </w:r>
    </w:p>
    <w:p>
      <w:pPr>
        <w:spacing w:before="0" w:after="120"/>
        <w:ind w:left="540"/>
      </w:pPr>
      <w:r>
        <w:t xml:space="preserve">Compare Section 4.1 with the director-action, common-authorization and selected sale-approval requirements. Review specific enforcement, the bank-holding-company enforcement carve-out, expedited-litigation cooperation and cumulative remedies. Flag changes in effort standards or requested relief for review rather than predicting an automatic injunction.</w:t>
      </w:r>
    </w:p>
    <w:p>
      <w:pPr>
        <w:keepNext/>
        <w:spacing w:before="360" w:after="160"/>
      </w:pPr>
      <w:r>
        <w:rPr>
          <w:b/>
          <w:sz w:val="28"/>
          <w:szCs w:val="28"/>
        </w:rPr>
        <w:t xml:space="preserve">12. Disqualification Inquiry</w:t>
      </w:r>
    </w:p>
    <w:p>
      <w:pPr>
        <w:keepNext/>
        <w:spacing w:before="200" w:after="80"/>
      </w:pPr>
      <w:r>
        <w:rPr>
          <w:rFonts w:ascii="Segoe UI Symbol" w:hAnsi="Segoe UI Symbol"/>
        </w:rPr>
        <w:t xml:space="preserve">☐  </w:t>
      </w:r>
      <w:r>
        <w:rPr>
          <w:b/>
        </w:rPr>
        <w:t xml:space="preserve">12.1  </w:t>
      </w:r>
      <w:r>
        <w:rPr>
          <w:b/>
        </w:rPr>
        <w:t xml:space="preserve">Covered persons, events and ongoing inquiry</w:t>
      </w:r>
      <w:r>
        <w:t xml:space="preserve"> — Recommended (SHOULD)</w:t>
      </w:r>
    </w:p>
    <w:p>
      <w:pPr>
        <w:spacing w:before="0" w:after="120"/>
        <w:ind w:left="540"/>
      </w:pPr>
      <w:r>
        <w:t xml:space="preserve">Review Section 5.1 definitions and both sides’ Section 5.2 representations against the actual covered persons, event categories, knowledge qualifiers and rule exceptions. Address pre-September 23, 2013 matters separately. Document an appropriate factual inquiry; do not treat a clean representation or notice covenant as automatically sufficient.</w:t>
      </w:r>
    </w:p>
    <w:p>
      <w:pPr>
        <w:keepNext/>
        <w:spacing w:before="200" w:after="80"/>
      </w:pPr>
      <w:r>
        <w:rPr>
          <w:rFonts w:ascii="Segoe UI Symbol" w:hAnsi="Segoe UI Symbol"/>
        </w:rPr>
        <w:t xml:space="preserve">☐  </w:t>
      </w:r>
      <w:r>
        <w:rPr>
          <w:b/>
        </w:rPr>
        <w:t xml:space="preserve">12.2  </w:t>
      </w:r>
      <w:r>
        <w:rPr>
          <w:b/>
        </w:rPr>
        <w:t xml:space="preserve">Director eligibility and notification</w:t>
      </w:r>
      <w:r>
        <w:t xml:space="preserve"> — Recommended (SHOULD)</w:t>
      </w:r>
    </w:p>
    <w:p>
      <w:pPr>
        <w:spacing w:before="0" w:after="120"/>
        <w:ind w:left="540"/>
      </w:pPr>
      <w:r>
        <w:t xml:space="preserve">Assign responsibility for reasonable-care checks, prompt removal/replacement of a known Disqualified Designee and written event notices under Section 5.3. Include sanctions status and review the stated event exceptions; coordinate the replacement with Section 1.2.</w:t>
      </w:r>
    </w:p>
    <w:p>
      <w:pPr>
        <w:keepNext/>
        <w:spacing w:before="360" w:after="160"/>
      </w:pPr>
      <w:r>
        <w:rPr>
          <w:b/>
          <w:sz w:val="28"/>
          <w:szCs w:val="28"/>
        </w:rPr>
        <w:t xml:space="preserve">13. Termination</w:t>
      </w:r>
    </w:p>
    <w:p>
      <w:pPr>
        <w:keepNext/>
        <w:spacing w:before="200" w:after="80"/>
      </w:pPr>
      <w:r>
        <w:rPr>
          <w:rFonts w:ascii="Segoe UI Symbol" w:hAnsi="Segoe UI Symbol"/>
        </w:rPr>
        <w:t xml:space="preserve">☐  </w:t>
      </w:r>
      <w:r>
        <w:rPr>
          <w:b/>
        </w:rPr>
        <w:t xml:space="preserve">13.1  </w:t>
      </w:r>
      <w:r>
        <w:rPr>
          <w:b/>
        </w:rPr>
        <w:t xml:space="preserve">Termination events and optional survival</w:t>
      </w:r>
      <w:r>
        <w:t xml:space="preserve"> — Recommended (SHOULD)</w:t>
      </w:r>
    </w:p>
    <w:p>
      <w:pPr>
        <w:spacing w:before="0" w:after="120"/>
        <w:ind w:left="540"/>
      </w:pPr>
      <w:r>
        <w:t xml:space="preserve">Compare Section 6’s first-underwritten-offering trigger and its employee-plan and Rule 145 exclusions, sale/proceeds-or-escrow trigger and Section 7.8 termination route. Resolve direct listing, post-sale Section 3 enforcement and the optional fixed date deliberately. Flag an unresolved date or deletion of the agreed sale-enforcement continuation.</w:t>
      </w:r>
      <w:r>
        <w:t xml:space="preserve"> Compare the selected termination trigger with the ROFR/co-sale and Investors’ Rights Agreements, treating registration-rights termination separately.</w:t>
      </w:r>
    </w:p>
    <w:p>
      <w:pPr>
        <w:keepNext/>
        <w:spacing w:before="360" w:after="160"/>
      </w:pPr>
      <w:r>
        <w:rPr>
          <w:b/>
          <w:sz w:val="28"/>
          <w:szCs w:val="28"/>
        </w:rPr>
        <w:t xml:space="preserve">14. New Holders</w:t>
      </w:r>
    </w:p>
    <w:p>
      <w:pPr>
        <w:keepNext/>
        <w:spacing w:before="200" w:after="80"/>
      </w:pPr>
      <w:r>
        <w:rPr>
          <w:rFonts w:ascii="Segoe UI Symbol" w:hAnsi="Segoe UI Symbol"/>
        </w:rPr>
        <w:t xml:space="preserve">☐  </w:t>
      </w:r>
      <w:r>
        <w:rPr>
          <w:b/>
        </w:rPr>
        <w:t xml:space="preserve">14.1  </w:t>
      </w:r>
      <w:r>
        <w:rPr>
          <w:b/>
        </w:rPr>
        <w:t xml:space="preserve">Later preferred purchasers</w:t>
      </w:r>
      <w:r>
        <w:t xml:space="preserve"> — Recommended (SHOULD)</w:t>
      </w:r>
    </w:p>
    <w:p>
      <w:pPr>
        <w:spacing w:before="0" w:after="120"/>
        <w:ind w:left="540"/>
      </w:pPr>
      <w:r>
        <w:t xml:space="preserve">Check that a later preferred purchaser signs and delivers a counterpart agreeing to join as an Investor and Stockholder as a condition to issuance. Flag an issuance package that omits that accession or assigns the wrong capacity.</w:t>
      </w:r>
    </w:p>
    <w:p>
      <w:pPr>
        <w:keepNext/>
        <w:spacing w:before="200" w:after="80"/>
      </w:pPr>
      <w:r>
        <w:rPr>
          <w:rFonts w:ascii="Segoe UI Symbol" w:hAnsi="Segoe UI Symbol"/>
        </w:rPr>
        <w:t xml:space="preserve">☐  </w:t>
      </w:r>
      <w:r>
        <w:rPr>
          <w:b/>
        </w:rPr>
        <w:t xml:space="preserve">14.2  </w:t>
      </w:r>
      <w:r>
        <w:rPr>
          <w:b/>
        </w:rPr>
        <w:t xml:space="preserve">Other new holders</w:t>
      </w:r>
      <w:r>
        <w:t xml:space="preserve"> — Recommended (SHOULD)</w:t>
      </w:r>
    </w:p>
    <w:p>
      <w:pPr>
        <w:spacing w:before="0" w:after="120"/>
        <w:ind w:left="540"/>
      </w:pPr>
      <w:r>
        <w:t xml:space="preserve">Resolve whether the other-holder accession clause includes options or warrants and whether its ownership threshold is retained. Check the selected trigger and Stockholder or applicable Key Holder capacity; flag automatic application of an unselected bracket or a missing counterpart when the selected trigger is met.</w:t>
      </w:r>
    </w:p>
    <w:p>
      <w:pPr>
        <w:keepNext/>
        <w:spacing w:before="200" w:after="80"/>
      </w:pPr>
      <w:r>
        <w:rPr>
          <w:rFonts w:ascii="Segoe UI Symbol" w:hAnsi="Segoe UI Symbol"/>
        </w:rPr>
        <w:t xml:space="preserve">☐  </w:t>
      </w:r>
      <w:r>
        <w:rPr>
          <w:b/>
        </w:rPr>
        <w:t xml:space="preserve">14.3  </w:t>
      </w:r>
      <w:r>
        <w:rPr>
          <w:b/>
        </w:rPr>
        <w:t xml:space="preserve">Transferee capacity and written joinder</w:t>
      </w:r>
      <w:r>
        <w:t xml:space="preserve"> — Recommended (SHOULD)</w:t>
      </w:r>
    </w:p>
    <w:p>
      <w:pPr>
        <w:spacing w:before="0" w:after="120"/>
        <w:ind w:left="540"/>
      </w:pPr>
      <w:r>
        <w:t xml:space="preserve">Check that the transferee signs and delivers the counterpart in the transferor’s capacity before company recognition of the transfer. Flag a recognition provision that permits the transfer first and leaves written accession for later.</w:t>
      </w:r>
    </w:p>
    <w:p>
      <w:pPr>
        <w:keepNext/>
        <w:spacing w:before="200" w:after="80"/>
      </w:pPr>
      <w:r>
        <w:rPr>
          <w:rFonts w:ascii="Segoe UI Symbol" w:hAnsi="Segoe UI Symbol"/>
        </w:rPr>
        <w:t xml:space="preserve">☐  </w:t>
      </w:r>
      <w:r>
        <w:rPr>
          <w:b/>
        </w:rPr>
        <w:t xml:space="preserve">14.4  </w:t>
      </w:r>
      <w:r>
        <w:rPr>
          <w:b/>
        </w:rPr>
        <w:t xml:space="preserve">Accession status and designation transfer</w:t>
      </w:r>
      <w:r>
        <w:t xml:space="preserve"> — Recommended (SHOULD)</w:t>
      </w:r>
    </w:p>
    <w:p>
      <w:pPr>
        <w:spacing w:before="0" w:after="120"/>
        <w:ind w:left="540"/>
      </w:pPr>
      <w:r>
        <w:t xml:space="preserve">Obtain the joinder in the required capacity and update the appropriate schedule and share records. Apply the selected approval for new Key Holder status. If a board-designation right is intended to transfer with shares, document the required Section 7.8 amendment; do not infer it from the share transfer alone.</w:t>
      </w:r>
    </w:p>
    <w:p>
      <w:pPr>
        <w:keepNext/>
        <w:spacing w:before="360" w:after="160"/>
      </w:pPr>
      <w:r>
        <w:rPr>
          <w:b/>
          <w:sz w:val="28"/>
          <w:szCs w:val="28"/>
        </w:rPr>
        <w:t xml:space="preserve">15. Law and Notices</w:t>
      </w:r>
    </w:p>
    <w:p>
      <w:pPr>
        <w:keepNext/>
        <w:spacing w:before="200" w:after="80"/>
      </w:pPr>
      <w:r>
        <w:rPr>
          <w:rFonts w:ascii="Segoe UI Symbol" w:hAnsi="Segoe UI Symbol"/>
        </w:rPr>
        <w:t xml:space="preserve">☐  </w:t>
      </w:r>
      <w:r>
        <w:rPr>
          <w:b/>
        </w:rPr>
        <w:t xml:space="preserve">15.1  </w:t>
      </w:r>
      <w:r>
        <w:rPr>
          <w:b/>
        </w:rPr>
        <w:t xml:space="preserve">Execution package and notice routing</w:t>
      </w:r>
      <w:r>
        <w:t xml:space="preserve"> — Recommended (SHOULD)</w:t>
      </w:r>
    </w:p>
    <w:p>
      <w:pPr>
        <w:spacing w:before="0" w:after="120"/>
        <w:ind w:left="540"/>
      </w:pPr>
      <w:r>
        <w:t xml:space="preserve">Confirm Delaware governing law or obtain review for the law actually selected. Check counterparts, party signatures and signatory capacity; complete company contacts and holder Schedules A/B/C as applicable. Reconcile counsel copies, delivery timing and electronic-notice consent with the actual addresses. Correct failed email delivery rather than assuming it was effective.</w:t>
      </w:r>
    </w:p>
    <w:p>
      <w:pPr>
        <w:keepNext/>
        <w:spacing w:before="360" w:after="160"/>
      </w:pPr>
      <w:r>
        <w:rPr>
          <w:b/>
          <w:sz w:val="28"/>
          <w:szCs w:val="28"/>
        </w:rPr>
        <w:t xml:space="preserve">16. Amendment Consents</w:t>
      </w:r>
    </w:p>
    <w:p>
      <w:pPr>
        <w:keepNext/>
        <w:spacing w:before="200" w:after="80"/>
      </w:pPr>
      <w:r>
        <w:rPr>
          <w:rFonts w:ascii="Segoe UI Symbol" w:hAnsi="Segoe UI Symbol"/>
        </w:rPr>
        <w:t xml:space="preserve">☐  </w:t>
      </w:r>
      <w:r>
        <w:rPr>
          <w:b/>
        </w:rPr>
        <w:t xml:space="preserve">16.1  </w:t>
      </w:r>
      <w:r>
        <w:rPr>
          <w:b/>
        </w:rPr>
        <w:t xml:space="preserve">Written amendment and holder consents</w:t>
      </w:r>
      <w:r>
        <w:t xml:space="preserve"> — Recommended (SHOULD)</w:t>
      </w:r>
    </w:p>
    <w:p>
      <w:pPr>
        <w:spacing w:before="0" w:after="120"/>
        <w:ind w:left="540"/>
      </w:pPr>
      <w:r>
        <w:t xml:space="preserve">Complete the Key Holder constituency and percentage, any ownership floor for its consent, and the Requisite Holders definition. Preserve the company’s written consent and the exclusion of sanctioned holdings from the calculations. Flag a generic majority substituted for the selected approval package.</w:t>
      </w:r>
    </w:p>
    <w:p>
      <w:pPr>
        <w:keepNext/>
        <w:spacing w:before="200" w:after="80"/>
      </w:pPr>
      <w:r>
        <w:rPr>
          <w:rFonts w:ascii="Segoe UI Symbol" w:hAnsi="Segoe UI Symbol"/>
        </w:rPr>
        <w:t xml:space="preserve">☐  </w:t>
      </w:r>
      <w:r>
        <w:rPr>
          <w:b/>
        </w:rPr>
        <w:t xml:space="preserve">16.2  </w:t>
      </w:r>
      <w:r>
        <w:rPr>
          <w:b/>
        </w:rPr>
        <w:t xml:space="preserve">Affected-party protection and exceptions</w:t>
      </w:r>
      <w:r>
        <w:t xml:space="preserve"> — Recommended (SHOULD)</w:t>
      </w:r>
    </w:p>
    <w:p>
      <w:pPr>
        <w:spacing w:before="0" w:after="120"/>
        <w:ind w:left="540"/>
      </w:pPr>
      <w:r>
        <w:t xml:space="preserve">Check the affected Investor or Key Holder consent protection for changes that do not apply to that category in the same fashion. Reconcile it with the Key Holder exception for changes not directly applicable to their rights or not adversely affecting them differently from other parties. Flag a claimed veto or consent shortcut that ignores either qualification.</w:t>
      </w:r>
    </w:p>
    <w:p>
      <w:pPr>
        <w:keepNext/>
        <w:spacing w:before="200" w:after="80"/>
      </w:pPr>
      <w:r>
        <w:rPr>
          <w:rFonts w:ascii="Segoe UI Symbol" w:hAnsi="Segoe UI Symbol"/>
        </w:rPr>
        <w:t xml:space="preserve">☐  </w:t>
      </w:r>
      <w:r>
        <w:rPr>
          <w:b/>
        </w:rPr>
        <w:t xml:space="preserve">16.3  </w:t>
      </w:r>
      <w:r>
        <w:rPr>
          <w:b/>
        </w:rPr>
        <w:t xml:space="preserve">Protected seats and amendment exceptions</w:t>
      </w:r>
      <w:r>
        <w:t xml:space="preserve"> — Recommended (SHOULD)</w:t>
      </w:r>
    </w:p>
    <w:p>
      <w:pPr>
        <w:spacing w:before="0" w:after="120"/>
        <w:ind w:left="540"/>
      </w:pPr>
      <w:r>
        <w:t xml:space="preserve">Resolve named-investor and common-seat consent protections. Distinguish equal-treatment protection, the Key Holder exception, schedule updates and a party’s own waiver. Test each relevant exception rather than reducing Section 7.8 to a single majority calculation.</w:t>
      </w:r>
    </w:p>
    <w:p>
      <w:pPr>
        <w:keepNext/>
        <w:spacing w:before="200" w:after="80"/>
      </w:pPr>
      <w:r>
        <w:rPr>
          <w:rFonts w:ascii="Segoe UI Symbol" w:hAnsi="Segoe UI Symbol"/>
        </w:rPr>
        <w:t xml:space="preserve">☐  </w:t>
      </w:r>
      <w:r>
        <w:rPr>
          <w:b/>
        </w:rPr>
        <w:t xml:space="preserve">16.4  </w:t>
      </w:r>
      <w:r>
        <w:rPr>
          <w:b/>
        </w:rPr>
        <w:t xml:space="preserve">Written amendment and affected-party notice</w:t>
      </w:r>
      <w:r>
        <w:t xml:space="preserve"> — Recommended (SHOULD)</w:t>
      </w:r>
    </w:p>
    <w:p>
      <w:pPr>
        <w:spacing w:before="0" w:after="120"/>
        <w:ind w:left="540"/>
      </w:pPr>
      <w:r>
        <w:t xml:space="preserve">Collect the required written instrument or qualifying circulated consent and deliver prompt notice to affected nonconsenting parties. Check successor/assignee treatment and preserve the distinction between the notice obligation and the model’s statement that failure to notify does not invalidate an otherwise compliant change.</w:t>
      </w:r>
    </w:p>
    <w:p>
      <w:pPr>
        <w:keepNext/>
        <w:spacing w:before="360" w:after="160"/>
      </w:pPr>
      <w:r>
        <w:rPr>
          <w:b/>
          <w:sz w:val="28"/>
          <w:szCs w:val="28"/>
        </w:rPr>
        <w:t xml:space="preserve">17. Continuing Document Controls</w:t>
      </w:r>
    </w:p>
    <w:p>
      <w:pPr>
        <w:keepNext/>
        <w:spacing w:before="200" w:after="80"/>
      </w:pPr>
      <w:r>
        <w:rPr>
          <w:rFonts w:ascii="Segoe UI Symbol" w:hAnsi="Segoe UI Symbol"/>
        </w:rPr>
        <w:t xml:space="preserve">☐  </w:t>
      </w:r>
      <w:r>
        <w:rPr>
          <w:b/>
        </w:rPr>
        <w:t xml:space="preserve">17.1  </w:t>
      </w:r>
      <w:r>
        <w:rPr>
          <w:b/>
        </w:rPr>
        <w:t xml:space="preserve">Prior agreement and side letters</w:t>
      </w:r>
      <w:r>
        <w:t xml:space="preserve"> — Recommended (SHOULD)</w:t>
      </w:r>
    </w:p>
    <w:p>
      <w:pPr>
        <w:spacing w:before="0" w:after="120"/>
        <w:ind w:left="540"/>
      </w:pPr>
      <w:r>
        <w:t xml:space="preserve">Verify amendment or termination authority under the prior agreement and identify which existing holders will be bound by the replacement. Reconcile the selected restatement text, charter, Transaction Agreements and Side Letters before relying on the entire-agreement clause.</w:t>
      </w:r>
    </w:p>
    <w:p>
      <w:pPr>
        <w:keepNext/>
        <w:spacing w:before="200" w:after="80"/>
      </w:pPr>
      <w:r>
        <w:rPr>
          <w:rFonts w:ascii="Segoe UI Symbol" w:hAnsi="Segoe UI Symbol"/>
        </w:rPr>
        <w:t xml:space="preserve">☐  </w:t>
      </w:r>
      <w:r>
        <w:rPr>
          <w:b/>
        </w:rPr>
        <w:t xml:space="preserve">17.2  </w:t>
      </w:r>
      <w:r>
        <w:rPr>
          <w:b/>
        </w:rPr>
        <w:t xml:space="preserve">Waivers, legends and later shares</w:t>
      </w:r>
      <w:r>
        <w:t xml:space="preserve"> — Recommended (SHOULD)</w:t>
      </w:r>
    </w:p>
    <w:p>
      <w:pPr>
        <w:spacing w:before="0" w:after="120"/>
        <w:ind w:left="540"/>
      </w:pPr>
      <w:r>
        <w:t xml:space="preserve">Check that waivers are written and limited to their stated scope and that the no-delay waiver and severability provisions remain. Preserve company legends/copies, later-share coverage, permitted voting methods and reasonably requested further assurances; flag deletion or narrowing of those model terms. Apply affiliate aggregation when determining rights and retain the rule that headings add no operative terms.</w:t>
      </w:r>
    </w:p>
    <w:p>
      <w:pPr>
        <w:keepNext/>
        <w:spacing w:before="360" w:after="160"/>
      </w:pPr>
      <w:r>
        <w:rPr>
          <w:b/>
          <w:sz w:val="28"/>
          <w:szCs w:val="28"/>
        </w:rPr>
        <w:t xml:space="preserve">18. Dispute Choices</w:t>
      </w:r>
    </w:p>
    <w:p>
      <w:pPr>
        <w:keepNext/>
        <w:spacing w:before="200" w:after="80"/>
      </w:pPr>
      <w:r>
        <w:rPr>
          <w:rFonts w:ascii="Segoe UI Symbol" w:hAnsi="Segoe UI Symbol"/>
        </w:rPr>
        <w:t xml:space="preserve">☐  </w:t>
      </w:r>
      <w:r>
        <w:rPr>
          <w:b/>
        </w:rPr>
        <w:t xml:space="preserve">18.1  </w:t>
      </w:r>
      <w:r>
        <w:rPr>
          <w:b/>
        </w:rPr>
        <w:t xml:space="preserve">Forum, procedure and enforcement costs</w:t>
      </w:r>
      <w:r>
        <w:t xml:space="preserve"> — Recommended (SHOULD)</w:t>
      </w:r>
    </w:p>
    <w:p>
      <w:pPr>
        <w:spacing w:before="0" w:after="120"/>
        <w:ind w:left="540"/>
      </w:pPr>
      <w:r>
        <w:t xml:space="preserve">Select one dispute alternative and complete its forum/rule blanks. Review arbitration selection, discovery and record terms or the chosen court jurisdiction; coordinate equitable relief, jury-waiver review and own-cost versus prevailing-party recovery. Do not leave both alternatives active or assume a generalized arbitration advantage.</w:t>
      </w:r>
    </w:p>
    <w:p>
      <w:pPr>
        <w:spacing w:before="0" w:after="120"/>
      </w:pPr>
      <w:r>
        <w:t xml:space="preserve">Original explanation: CC BY 4.0. Quoted excerpts and linked NVCA materials retain their original rights.</w:t>
      </w:r>
    </w:p>
    <w:p>
      <w:pPr>
        <w:spacing w:before="360" w:after="0"/>
      </w:pPr>
      <w:r>
        <w:rPr>
          <w:color w:val="666666"/>
          <w:sz w:val="16"/>
          <w:szCs w:val="16"/>
        </w:rPr>
        <w:t xml:space="preserve">Steven Obiajulu, J.D. edits this reviewer checklist for June 2026 NVCA model for a Delaware corporation; transaction-specific choices and legal limits coverage. It synthesizes legal sources and is not legal advice. This article is for informational purposes only and does not create an attorney-client relationship.</w:t>
      </w:r>
    </w:p>
    <w:sectPr>
      <w:pgSz w:w="12240" w:h="15840"/>
      <w:pgMar w:top="1440" w:right="1440" w:bottom="1440" w:left="1440"/>
    </w:sectPr>
  </w:body>
</w:document>
</file>

<file path=word/styles.xml><?xml version="1.0" encoding="utf-8"?>
<w:styles xmlns:w="http://schemas.openxmlformats.org/wordprocessingml/2006/main">
  <w:docDefaults>
    <w:rPrDefault>
      <w:rPr>
        <w:rFonts w:ascii="Calibri" w:hAnsi="Calibri"/>
        <w:sz w:val="22"/>
        <w:szCs w:val="22"/>
      </w:rPr>
    </w:rPrDefault>
    <w:pPrDefault>
      <w:pPr>
        <w:spacing w:after="120" w:line="276" w:lineRule="auto"/>
      </w:pPr>
    </w:p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