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District of Columbia</w:t>
      </w:r>
    </w:p>
    <w:p>
      <w:pPr>
        <w:spacing w:before="0" w:after="120"/>
      </w:pPr>
      <w:r>
        <w:rPr>
          <w:i/>
          <w:color w:val="444444"/>
        </w:rPr>
        <w:t xml:space="preserve">A clause-by-clause reviewer checklist for District of Columbia employee restrictive covenant agreements — the District bans non-competes for employees below an annually adjusted pay threshold and enforces a covenant against a highly compensated employee only if it clears strict scope, duration, and 14-day notice gates.</w:t>
      </w:r>
    </w:p>
    <w:p>
      <w:pPr>
        <w:spacing w:before="0" w:after="240"/>
      </w:pPr>
      <w:r>
        <w:rPr>
          <w:color w:val="666666"/>
          <w:sz w:val="18"/>
          <w:szCs w:val="18"/>
        </w:rPr>
        <w:t xml:space="preserve">By Steven Obiajulu, J.D. Last reviewed 2026-06-11. License: CC BY 4.0. https://openagreements.org/legal/non-compete/district-of-columbia-review-checklist</w:t>
      </w:r>
    </w:p>
    <w:p>
      <w:pPr>
        <w:keepNext/>
        <w:spacing w:before="360" w:after="160"/>
      </w:pPr>
      <w:r>
        <w:rPr>
          <w:b/>
          <w:sz w:val="28"/>
          <w:szCs w:val="28"/>
        </w:rPr>
        <w:t xml:space="preserve">1. Parties and cover-term identification</w:t>
      </w:r>
    </w:p>
    <w:p>
      <w:pPr>
        <w:spacing w:before="0" w:after="120"/>
      </w:pPr>
      <w:r>
        <w:t xml:space="preserve">A District review runs on two tracks at once. First, classify the worker: below the annually adjusted pay threshold the worker is a covered employee and any non-compete provision is banned and void, with per-employee penalties attached to the paper itself. Second, if the worker is highly compensated, audit the covenant against the statutory validity gates — functional scope, geographic limits, the calendar-day duration cap, and 14-day advance delivery — collected at the end of this page. For the question-by-question legal analysis behind these items, see the </w:t>
      </w:r>
      <w:r>
        <w:t xml:space="preserve">District of Columbia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Name both sides precisely, then remember that in the District the employer's identity settles less than the employee's geography: the ban covers a worker who spends more than half their work time for the employer in the District, or whose District-based role involves substantial District work — wherever the company is headquartered. A clean party block is the anchor for that coverage analysis.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is the regime selector. A non-compete provision in a covered employee's agreement entered into on or after October 1, 2022 is void as a matter of law; an agreement signed before that date is judged instead under the District's common-law reasonableness rule. An undated instrument leaves the single most consequential classification on this page unanchored.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with its compensation context, because the District grades by pay and occupation rather than seniority labels. The title is the first clue to three statutory categories that change everything: a sub-threshold worker (covenant void), a broadcast creator (never bindable, at any salary), and a licensed physician who may qualify as a medical specialist (higher threshold, longer cap).</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jurisdiction is stated, and weigh what it can and cannot do here: the ban's coverage keys to where the employee works — the District work test — not to the law label on the signature page, so writing another jurisdiction into the clause does not move a District-based worker out of the covered-employee analysis. Treat an out-of-District selection in a District-heavy role as a flag for closer review rather than a cure.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The District expressly leaves confidentiality restrictions outside its non-compete ban, which makes this definition the workhorse of the surviving protective program — and its breadth the thing to test. A definition confined to genuinely confidential and proprietary employer information stays inside the carve-out; one that locks up everything the worker ever learned starts to function as a bar on working for a competitor and risks recharacterization as a banned non-compete provision.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separately and concretely. The District's Uniform Trade Secrets Act lets a court enjoin actual or threatened misappropriation without any covenant at all, so a precise trade-secret definition is the employer's most reliable remedy in a jurisdiction where the competition restraints themselves are mostly off the table.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Confirm the umbrella term is expressed in calendar days running from the date of separation, because that is exactly how the statute writes its ceilings — 365 calendar days from separation for a non-medical highly compensated employee. A restricted period defined from some other trigger, or in fuzzy month language, makes the cap compliance check harder than it needs to be.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In the District this definition is not just good practice — geographical limitations are one of the contents the statute requires a highly compensated employee's covenant to specify before it can be valid. A covenant silent on geography fails the statutory checklist outright, so confirm the territory is stated, bounded, and matched to where the employee actually works.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The District's ban targets provisions that stop an employee from working for another for pay or running their own business — a customer non-solicit scoped to actual contacts during a look-back window sits comfortably outside that definition. Keep the class tight anyway: the narrower the customer set, the clearer it is that the clause restrains solicitation rather than employment itself.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For any employee non-solicit, confirm the protected class is the colleagues the departing worker actually worked with during a stated look-back window. Note the vocabulary trap in this jurisdiction: the statute uses </w:t>
      </w:r>
      <w:r>
        <w:rPr>
          <w:i/>
        </w:rPr>
        <w:t xml:space="preserve">covered employee</w:t>
      </w:r>
      <w:r>
        <w:t xml:space="preserve"> to mean a worker the ban protects, so an agreement that borrows the same phrase for its non-solicit class should define it unmistakably as a contract term.</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and weight them the way the District does: the statute's carve-outs protect confidential and proprietary employer information, and trade-secret law supplies the injunction. Recitals about goodwill or training investment do nothing for a covered employee's covenant — the ban is a flat rule — so the definition should foreground the information interests the law actually lets the employer defend.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This definition carries statutory weight for a highly compensated employee: the covenant must specify the functional scope of the restriction, including what services, roles, industry, or competing entities the employee may not work in or for. A Competitive Business definition written at that level of specificity is how the agreement satisfies the requirement; a vague any-competing-enterprise formulation is a validity gap, not just loose drafting.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any clause restricts owning or investing in competitors, look for the passive-holdings carve-out below a stated threshold. The District adds a definitional edge to the usual overbreadth concern: the banned non-compete provision includes one that stops an employee from operating their own business, and an investment restraint drafted wide enough can drift toward that line.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machinery — many agreements state the carve-out inline without a capitalized term. If the defined term appears, confirm the ownership threshold in the definition matches the one the operative carve-out actually uses.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A solicitation definition that also captures accepting unsolicited approaches converts a non-solicit into something closer to a bar on working for the people who call — which, for a covered employee, is the territory the ban occupies. The tighter the definition, the more clearly the clause stays a solicitation restraint.</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one unambiguous separation trigger covering resignation, dismissal, and the end of a fixed term. In the District the stakes are statutory: the duration caps are measured in calendar days from the date the employee separates from employment, so an ambiguous separation definition leaves the covenant's compliance with the cap genuinely uncertain.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In the District the timing acknowledgement should do specific evidentiary work: record the date the employer delivered the non-compete provision in writing, because a highly compensated employee must receive it at least 14 days before starting work — or, for a current employee, at least 14 days before signing — for the covenant to be valid. A recital proving the 14-day fact from the face of the instrument is cheap insurance against the most mechanical way a District covenant fails.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The District imposes no counsel-consultation formality, so this acknowledgement works as general procedural-fairness evidence. It pairs naturally with the 14-day delivery window — the statute's design gives the employee time to seek advice, and a recital that the employee had and could use that time supports the covenant's procedural story.</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Let trade-secret obligations run as long as secrecy does — federal law keys the right to continued secrecy, and the District's own trade-secrets act supplies the injunction. With most competition restraints banned below the pay threshold, this clause is the employer's principal protection in the District, and contractually expiring it on a fixed date surrenders a remedy the statute would otherwise extend indefinitely.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non-trade-secret confidential information its own finite term. The two-track structure also protects the clause's statutory footing in the District: the carve-out shelters restrictions on the employer's confidential and proprietary information, and a perpetual lid on everything the worker knows is the drafting pattern most likely to be read as preventing competitive employment altogether — taking the clause outside the carve-out it depends on.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Confirm the federal immunity notice appears in any agreement governing confidential information. In a jurisdiction where trade-secret litigation is the main enforcement channel left to the employer, forfeiting exemplary damages and attorney fees by omitting the notice gives up exactly the remedies a District employer will want most.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Wages, hours, and working conditions must stay discussable no matter what the confidentiality and non-disparagement clauses say — federal labor law protects that speech everywhere, and the Board condemns terms broad enough to chill it. In an agreement already navigating a local ban, an overbroad federal-law violation is an unforced error.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contract overrides compelled process, and in a jurisdiction with an active enforcement office, language that purports to forbid cooperating with the government reads especially badly.</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Because a District employer below the pay threshold protects itself through confidentiality and trade-secret claims rather than competition restraints, the signed certification is often the best exhibit it will ever produce — contemporaneous proof of what the departing worker said about devices, files, and copies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Acceptable when scoped to active solicitation of actual colleagues for a stated period — the District's statutory ban does not speak to employee non-solicits. Do not mistake silence for safe harbor: the Attorney General has treated a franchise no-poach clause as violating both the non-compete ban and the District's Antitrust Act, which declares restraints of trade illegal, so restraints on worker mobility in this jurisdiction draw enforcement attention even outside the statute's text.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Permissible: a clause barring solicitation of covered customers does not prohibit working for another for pay or operating a business, so it sits outside the banned-provision definition. It is still a restraint of trade under District common law, judged for reasonableness — confirm the look-back class, the duration, and the solicitation definition each pull the clause toward actual relationships rather than the market at large.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Review a no-business-with-covered-customers clause more skeptically than a non-solicit: it forbids serving customers who initiate the contact, and the wider it sweeps, the closer it edges to prohibiting the employee from performing work for another for pay — the very definition the District voids for covered employees. Keep it to a defined customer set and a finite period, and treat a broad version as a candidate for recharacterization. </w:t>
      </w:r>
    </w:p>
    <w:p>
      <w:pPr>
        <w:keepNext/>
        <w:spacing w:before="200" w:after="80"/>
      </w:pPr>
      <w:r>
        <w:rPr>
          <w:rFonts w:ascii="Segoe UI Symbol" w:hAnsi="Segoe UI Symbol"/>
        </w:rPr>
        <w:t xml:space="preserve">☐  </w:t>
      </w:r>
      <w:r>
        <w:rPr>
          <w:b/>
        </w:rPr>
        <w:t xml:space="preserve">7.4  </w:t>
      </w:r>
      <w:r>
        <w:rPr>
          <w:b/>
        </w:rPr>
        <w:t xml:space="preserve">Non-compete with a below-threshold employee (void)</w:t>
      </w:r>
      <w:r>
        <w:t xml:space="preserve"> — Prohibited (MUST NOT)</w:t>
      </w:r>
    </w:p>
    <w:p>
      <w:pPr>
        <w:spacing w:before="0" w:after="120"/>
        <w:ind w:left="540"/>
      </w:pPr>
      <w:r>
        <w:t xml:space="preserve">The agreement must not include a non-compete provision for a covered employee — a District-based worker earning below the published threshold ($162,164 for most employees in 2026). Since October 1, 2022 an employer may not even request that such a worker sign or comply with one, and a violating provision in an agreement entered into on or after that date is void as a matter of law. There is no reasonableness analysis to run and no narrowing that helps: if the worker is below the line, the clause's presence is the finding, and the only follow-up questions are the penalty exposure and the cleanup. A worker above the line routes instead through the statutory gates at the end of this checklist.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Where the employer can name its competitors, write them in. The District's content rule asks the covenant to specify what services, roles, industry, or competing entities are restricted — a named-competitor list is the most concrete way to satisfy the competing-entities limb, and it shrinks the functional scope a reviewer has to defend.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in the District worth a definitional double-check: a clause restraining investment broadly enough to stop the worker from operating their own business lands inside the banned-provision definition for a covered employee. If the clause appears, confirm the passive-holdings carve-out is intact and the restriction reaches only active, operational involvement in a competitor. </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Fine to include with a stated term, provided the carve-outs survive: truthful testimony, statements to government agencies, and protected workplace speech must sit outside its reach, and the Board strikes versions broad enough to swallow them. In a jurisdiction whose Attorney General already polices employment restraints, an overbroad non-disparagement clause invites scrutiny the rest of the agreement does not need.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District handles physicians through its pay architecture rather than a profession ban: a </w:t>
      </w:r>
      <w:r>
        <w:rPr>
          <w:i/>
        </w:rPr>
        <w:t xml:space="preserve">medical specialist</w:t>
      </w:r>
      <w:r>
        <w:t xml:space="preserve"> — a licensed physician who completed a residency and earns at least the adjusted floor ($270,274 in 2026) — can be bound, but only under a longer 730-calendar-day cap and the same scope, geography, and notice rules as everyone else. The dedicated clause should establish the qualifying facts (license, physician status, completed residency, compensation), because a doctor who misses any element is just an ordinary employee under the general threshold — or a covered employee whose covenant is void.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For a District hire this is also the intake screen for imported covenants: a restraint signed elsewhere, with another employer, is not automatically dissolved by the District's ban, and the prior employer may litigate in a friendlier forum — so surface the obligation at signing rather than discovering it through a demand letter mid-onboarding.</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Optional everywhere, hazardous here. Warning a new employer off a worker on the strength of a void covenant is a way of attempting to enforce it, and the statute prices that move at no less than $1,500 per employee. If a notice clause stays in, confine it to obligations that remain lawful in the District — confidentiality and trade-secret duties, or a properly gated highly-compensated covenant — and never a provision the ban voids.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No tolling past the day caps</w:t>
      </w:r>
      <w:r>
        <w:t xml:space="preserve"> — Avoid (SHOULD NOT)</w:t>
      </w:r>
    </w:p>
    <w:p>
      <w:pPr>
        <w:spacing w:before="0" w:after="120"/>
        <w:ind w:left="540"/>
      </w:pPr>
      <w:r>
        <w:t xml:space="preserve">The covenant should not be built on the assumption that the clock pauses during a breach. The District's statute sets no tolling rule, and its ceilings are written as fixed calendar days measured from the date of separation — 365 for most highly compensated employees — so a clause stretching enforcement past that point fights the statutory text. No District decision blesses a contractual extension, and the common law the statute preserves as cumulative has not endorsed one either; flag any tolling clause that depends on running past the cap, and treat an in-cap extension as the only defensible version.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Keep the irreparable-harm acknowledgement, but check what it points at. The injunction a District employer can count on protects trade secrets — actual or threatened misappropriation may be enjoined — while an injunction enforcing a covenant works only for a fully compliant highly-compensated covenant. Seeking to enforce a void one is itself a priced violation, so a remedies clause that recites irreparable harm from competition by a below-threshold worker is describing a lawsuit the employer cannot safely bring.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but price in the asymmetry: the District's statute already hands employees fixed monetary relief — starting at $500 to $1,000 per affected employee just for being subjected to a banned covenant — with administrative penalties on top, and gives the employer nothing comparable. An aggressive one-way employer fee clause sits awkwardly next to that architecture; mutual prevailing-party drafting is the defensible shape.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Courts narrow, never broaden</w:t>
      </w:r>
      <w:r>
        <w:t xml:space="preserve"> — Avoid (SHOULD NOT)</w:t>
      </w:r>
    </w:p>
    <w:p>
      <w:pPr>
        <w:spacing w:before="0" w:after="120"/>
        <w:ind w:left="540"/>
      </w:pPr>
      <w:r>
        <w:t xml:space="preserve">Reformation exists in the District, but read it as a one-way valve before relying on it: the Court of Appeals formally adopted equitable reformation and in the same decision vacated a trial court's revision for describing the restricted activities in broader language than the contract itself. And the doctrine reaches only what the statute leaves alive — a covered employee's covenant is void with nothing to reform, and a highly compensated employee's covenant that misses a statutory element is not valid and enforceable in the first place. A plain severability clause is healthy; enforce-to-the-maximum-extent language asking a judge to finish the drafting is the red flag.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every post-separation clock independently checkable: perpetual for trade secrets, finite for other confidential information, and a calendar-day count from separation for any lawful non-compete. In the District a bundled survival clause has a specific failure mode worth scanning for — quietly carrying a void covenant forward so it keeps casting a shadow over a worker the statute freed.</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District wrinkle is what assignment cannot do: the sale-of-business exclusion belongs to a covenant in which the </w:t>
      </w:r>
      <w:r>
        <w:rPr>
          <w:i/>
        </w:rPr>
        <w:t xml:space="preserve">seller</w:t>
      </w:r>
      <w:r>
        <w:t xml:space="preserve"> agrees not to compete, contained within or executed alongside the sale agreement — an employee-side covenant does not acquire that status by riding through an acquisition, and a void covenant arrives at the buyer just as void as it left.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Specify governing law, venue, and dispute process — and understand the limits of the selection for a District worker. Coverage under the ban follows the employee's work location, not the clause: a worker who spends most of their work time in the District is protected whatever law the agreement names, so the honest drafting choice for a District-based employee is District law with a District forum. Separately, confirm whether a collective bargaining agreement governs the relationship, because the chapter does not supersede a valid one.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District date buried in it: the void rule turns on when the agreement was entered into, with October 1, 2022 as the line. A pre-2022 covenant lives under common-law reasonableness only as long as it stays untouched — re-papering the relationship through a new agreement is a new entry into the statutory regime, so review the amendment mechanics knowing that every refresh is also a reclassification event. </w:t>
      </w:r>
    </w:p>
    <w:p>
      <w:pPr>
        <w:keepNext/>
        <w:spacing w:before="360" w:after="160"/>
      </w:pPr>
      <w:r>
        <w:rPr>
          <w:b/>
          <w:sz w:val="28"/>
          <w:szCs w:val="28"/>
        </w:rPr>
        <w:t xml:space="preserve">19. District of Columbia statutory gates (D.C. Code §§ 32-581.01–.04b)</w:t>
      </w:r>
    </w:p>
    <w:p>
      <w:pPr>
        <w:spacing w:before="0" w:after="120"/>
      </w:pPr>
      <w:r>
        <w:t xml:space="preserve">The nine items below exist only on this District of Columbia page: they implement the pay-threshold gate and the highly-compensated covenant's content, duration, and notice requirements, the workplace-policy and outside-work rules, the retaliation prohibition, and the sale-of-business confinement — none of which has an analogue in the jurisdiction-neutral checklist.</w:t>
      </w:r>
    </w:p>
    <w:p>
      <w:pPr>
        <w:keepNext/>
        <w:spacing w:before="200" w:after="80"/>
      </w:pPr>
      <w:r>
        <w:rPr>
          <w:rFonts w:ascii="Segoe UI Symbol" w:hAnsi="Segoe UI Symbol"/>
        </w:rPr>
        <w:t xml:space="preserve">☐  </w:t>
      </w:r>
      <w:r>
        <w:rPr>
          <w:b/>
        </w:rPr>
        <w:t xml:space="preserve">19.1  </w:t>
      </w:r>
      <w:r>
        <w:rPr>
          <w:b/>
        </w:rPr>
        <w:t xml:space="preserve">Pay threshold met (highly compensated employee)</w:t>
      </w:r>
      <w:r>
        <w:t xml:space="preserve"> — Required (MUST)</w:t>
      </w:r>
    </w:p>
    <w:p>
      <w:pPr>
        <w:spacing w:before="0" w:after="120"/>
        <w:ind w:left="540"/>
      </w:pPr>
      <w:r>
        <w:t xml:space="preserve">Establish the threshold before reading another clause: the worker must be a highly compensated employee — reasonably expected to earn, or having earned in the preceding consecutive 12-month period, at or above the minimum qualifying annual compensation. The statute set the base at $150,000 ($250,000 for a medical specialist) with annual inflation adjustment, and the published 2026 figures are $162,164 and $270,274 — so check against the current notice, not the number printed in the statute. One category never qualifies: a broadcast employee, the on- or off-air creator the definition carves out, cannot be bound at any salary. </w:t>
      </w:r>
    </w:p>
    <w:p>
      <w:pPr>
        <w:keepNext/>
        <w:spacing w:before="200" w:after="80"/>
      </w:pPr>
      <w:r>
        <w:rPr>
          <w:rFonts w:ascii="Segoe UI Symbol" w:hAnsi="Segoe UI Symbol"/>
        </w:rPr>
        <w:t xml:space="preserve">☐  </w:t>
      </w:r>
      <w:r>
        <w:rPr>
          <w:b/>
        </w:rPr>
        <w:t xml:space="preserve">19.2  </w:t>
      </w:r>
      <w:r>
        <w:rPr>
          <w:b/>
        </w:rPr>
        <w:t xml:space="preserve">Functional scope and geography spelled out</w:t>
      </w:r>
      <w:r>
        <w:t xml:space="preserve"> — Required (MUST)</w:t>
      </w:r>
    </w:p>
    <w:p>
      <w:pPr>
        <w:spacing w:before="0" w:after="120"/>
        <w:ind w:left="540"/>
      </w:pPr>
      <w:r>
        <w:t xml:space="preserve">The covenant must say, on its face, what work is restricted — the services, roles, industry, or competing entities the employee may not work in or for — and where the restriction applies. These are conditions of validity for a highly compensated employee's covenant, not style points: an agreement that leaves either one implicit fails the statute even when the worker clears the pay threshold comfortably. </w:t>
      </w:r>
    </w:p>
    <w:p>
      <w:pPr>
        <w:keepNext/>
        <w:spacing w:before="200" w:after="80"/>
      </w:pPr>
      <w:r>
        <w:rPr>
          <w:rFonts w:ascii="Segoe UI Symbol" w:hAnsi="Segoe UI Symbol"/>
        </w:rPr>
        <w:t xml:space="preserve">☐  </w:t>
      </w:r>
      <w:r>
        <w:rPr>
          <w:b/>
        </w:rPr>
        <w:t xml:space="preserve">19.3  </w:t>
      </w:r>
      <w:r>
        <w:rPr>
          <w:b/>
        </w:rPr>
        <w:t xml:space="preserve">365-day cap (730 for medical specialists)</w:t>
      </w:r>
      <w:r>
        <w:t xml:space="preserve"> — Prohibited (MUST NOT)</w:t>
      </w:r>
    </w:p>
    <w:p>
      <w:pPr>
        <w:spacing w:before="0" w:after="120"/>
        <w:ind w:left="540"/>
      </w:pPr>
      <w:r>
        <w:t xml:space="preserve">Count the days: the term of non-competition may not exceed 365 calendar days from the date the employee separates, or 730 calendar days for a medical specialist. Watch for the two classic misses — a term written in years that silently overshoots the day count, and a 730-day term claimed for a health-care worker who does not satisfy the full medical-specialist definition (license, physician status, completed residency, qualifying compensation). </w:t>
      </w:r>
    </w:p>
    <w:p>
      <w:pPr>
        <w:keepNext/>
        <w:spacing w:before="200" w:after="80"/>
      </w:pPr>
      <w:r>
        <w:rPr>
          <w:rFonts w:ascii="Segoe UI Symbol" w:hAnsi="Segoe UI Symbol"/>
        </w:rPr>
        <w:t xml:space="preserve">☐  </w:t>
      </w:r>
      <w:r>
        <w:rPr>
          <w:b/>
        </w:rPr>
        <w:t xml:space="preserve">19.4  </w:t>
      </w:r>
      <w:r>
        <w:rPr>
          <w:b/>
        </w:rPr>
        <w:t xml:space="preserve">14-day advance delivery</w:t>
      </w:r>
      <w:r>
        <w:t xml:space="preserve"> — Required (MUST)</w:t>
      </w:r>
    </w:p>
    <w:p>
      <w:pPr>
        <w:spacing w:before="0" w:after="120"/>
        <w:ind w:left="540"/>
      </w:pPr>
      <w:r>
        <w:t xml:space="preserve">The employer must put the non-compete provision in the employee's hands, in writing, at least 14 days before the individual starts work — or, for someone already employed, at least 14 days before the employee must sign. The window is a validity condition the document itself rarely proves, so ask for the delivery evidence: an offer-stage transmittal date, or a recital of the date the provision was provided, is what makes this gate auditable. </w:t>
      </w:r>
    </w:p>
    <w:p>
      <w:pPr>
        <w:keepNext/>
        <w:spacing w:before="200" w:after="80"/>
      </w:pPr>
      <w:r>
        <w:rPr>
          <w:rFonts w:ascii="Segoe UI Symbol" w:hAnsi="Segoe UI Symbol"/>
        </w:rPr>
        <w:t xml:space="preserve">☐  </w:t>
      </w:r>
      <w:r>
        <w:rPr>
          <w:b/>
        </w:rPr>
        <w:t xml:space="preserve">19.5  </w:t>
      </w:r>
      <w:r>
        <w:rPr>
          <w:b/>
        </w:rPr>
        <w:t xml:space="preserve">Statutory notice handed over</w:t>
      </w:r>
      <w:r>
        <w:t xml:space="preserve"> — Required (MUST)</w:t>
      </w:r>
    </w:p>
    <w:p>
      <w:pPr>
        <w:spacing w:before="0" w:after="120"/>
        <w:ind w:left="540"/>
      </w:pPr>
      <w:r>
        <w:t xml:space="preserve">Separate from delivering the covenant, the employer must give the highly compensated employee the statute's own notice whenever a non-compete provision is proposed. The content is fixed: the notice tells the employee that the Ban on Non-Compete Agreements Amendment Act of 2020 limits non-competes, that the employer has determined the employee to be highly compensated, and that the Department of Employment Services can provide more information. A missed disclosure is itself a violation, priced at $250 per affected employee. </w:t>
      </w:r>
    </w:p>
    <w:p>
      <w:pPr>
        <w:keepNext/>
        <w:spacing w:before="200" w:after="80"/>
      </w:pPr>
      <w:r>
        <w:rPr>
          <w:rFonts w:ascii="Segoe UI Symbol" w:hAnsi="Segoe UI Symbol"/>
        </w:rPr>
        <w:t xml:space="preserve">☐  </w:t>
      </w:r>
      <w:r>
        <w:rPr>
          <w:b/>
        </w:rPr>
        <w:t xml:space="preserve">19.6  </w:t>
      </w:r>
      <w:r>
        <w:rPr>
          <w:b/>
        </w:rPr>
        <w:t xml:space="preserve">Workplace-policy carve-outs disclosed in writing</w:t>
      </w:r>
      <w:r>
        <w:t xml:space="preserve"> — Required (MUST)</w:t>
      </w:r>
    </w:p>
    <w:p>
      <w:pPr>
        <w:spacing w:before="0" w:after="120"/>
        <w:ind w:left="540"/>
      </w:pPr>
      <w:r>
        <w:t xml:space="preserve">If the employer leans on the policy exceptions — anti-moonlighting rules, conflict-of-interest restrictions, confidentiality policies — it owes employees a written copy of those provisions within 30 days of acceptance of employment, within 30 days after October 1, 2022, and every time the policy changes. Reviewing the signed agreement alone can miss this entirely, so ask for the handbook and the distribution record; each missed disclosure costs $250 per employee. </w:t>
      </w:r>
    </w:p>
    <w:p>
      <w:pPr>
        <w:keepNext/>
        <w:spacing w:before="200" w:after="80"/>
      </w:pPr>
      <w:r>
        <w:rPr>
          <w:rFonts w:ascii="Segoe UI Symbol" w:hAnsi="Segoe UI Symbol"/>
        </w:rPr>
        <w:t xml:space="preserve">☐  </w:t>
      </w:r>
      <w:r>
        <w:rPr>
          <w:b/>
        </w:rPr>
        <w:t xml:space="preserve">19.7  </w:t>
      </w:r>
      <w:r>
        <w:rPr>
          <w:b/>
        </w:rPr>
        <w:t xml:space="preserve">Outside-work limits within the carve-out</w:t>
      </w:r>
      <w:r>
        <w:t xml:space="preserve"> — Prohibited (MUST NOT)</w:t>
      </w:r>
    </w:p>
    <w:p>
      <w:pPr>
        <w:spacing w:before="0" w:after="120"/>
        <w:ind w:left="540"/>
      </w:pPr>
      <w:r>
        <w:t xml:space="preserve">The ban protects moonlighting, not just post-employment mobility: a provision stopping a covered employee from performing work for another for pay — even during employment — is a banned non-compete provision, and it counts whether it sits in the signed agreement, the handbook, or an unwritten rule applied in practice. The surviving lane is narrow and reasoned: a restriction on outside paid work stands only where the employer reasonably believes the work would disclose confidential information, breach established conflict-of-interest rules, create a conflict of commitment at a higher education institution, or impair compliance with law, a contract, or a grant. A blanket second-job ban fits none of those. </w:t>
      </w:r>
    </w:p>
    <w:p>
      <w:pPr>
        <w:keepNext/>
        <w:spacing w:before="200" w:after="80"/>
      </w:pPr>
      <w:r>
        <w:rPr>
          <w:rFonts w:ascii="Segoe UI Symbol" w:hAnsi="Segoe UI Symbol"/>
        </w:rPr>
        <w:t xml:space="preserve">☐  </w:t>
      </w:r>
      <w:r>
        <w:rPr>
          <w:b/>
        </w:rPr>
        <w:t xml:space="preserve">19.8  </w:t>
      </w:r>
      <w:r>
        <w:rPr>
          <w:b/>
        </w:rPr>
        <w:t xml:space="preserve">No retaliation for asserting ban rights</w:t>
      </w:r>
      <w:r>
        <w:t xml:space="preserve"> — Prohibited (MUST NOT)</w:t>
      </w:r>
    </w:p>
    <w:p>
      <w:pPr>
        <w:spacing w:before="0" w:after="120"/>
        <w:ind w:left="540"/>
      </w:pPr>
      <w:r>
        <w:t xml:space="preserve">The employer may not retaliate or threaten to retaliate against a covered employee for refusing a banned non-compete, declining to comply with one, or complaining about one — and each instance costs $1,000 to $2,500 per affected employee. The document-review angle: scan for consequences language that conditions the job, a promotion, or benefits on signing or honoring a provision the statute voids, because a written threat is the form of retaliation a contract reviewer can actually catch. </w:t>
      </w:r>
    </w:p>
    <w:p>
      <w:pPr>
        <w:keepNext/>
        <w:spacing w:before="200" w:after="80"/>
      </w:pPr>
      <w:r>
        <w:rPr>
          <w:rFonts w:ascii="Segoe UI Symbol" w:hAnsi="Segoe UI Symbol"/>
        </w:rPr>
        <w:t xml:space="preserve">☐  </w:t>
      </w:r>
      <w:r>
        <w:rPr>
          <w:b/>
        </w:rPr>
        <w:t xml:space="preserve">19.9  </w:t>
      </w:r>
      <w:r>
        <w:rPr>
          <w:b/>
        </w:rPr>
        <w:t xml:space="preserve">Sale-of-business covenant in its lane</w:t>
      </w:r>
      <w:r>
        <w:t xml:space="preserve"> — Required (MUST)</w:t>
      </w:r>
    </w:p>
    <w:p>
      <w:pPr>
        <w:spacing w:before="0" w:after="120"/>
        <w:ind w:left="540"/>
      </w:pPr>
      <w:r>
        <w:t xml:space="preserve">A covenant escaping the ban through the sale-of-business exclusion must actually be one: contained within, or executed contemporaneously with, the agreement between the seller and the buyer, with the </w:t>
      </w:r>
      <w:r>
        <w:rPr>
          <w:i/>
        </w:rPr>
        <w:t xml:space="preserve">seller</w:t>
      </w:r>
      <w:r>
        <w:t xml:space="preserve"> promising not to compete with the buyer's business. Clearing the statute is not the finish line — outside the ban, the District's common law still tests the restraint for reasonableness, enforcing it only to the extent its terms are reasonable — so audit both the covenant's placement in the deal papers and its scope against the business actually sold. </w:t>
      </w:r>
    </w:p>
    <w:p>
      <w:pPr>
        <w:spacing w:before="360" w:after="0"/>
      </w:pPr>
      <w:r>
        <w:rPr>
          <w:color w:val="666666"/>
          <w:sz w:val="16"/>
          <w:szCs w:val="16"/>
        </w:rPr>
        <w:t xml:space="preserve">Steven Obiajulu, J.D. edits this review checklist for District of Columbia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