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New Mexico</w:t>
      </w:r>
    </w:p>
    <w:p>
      <w:pPr>
        <w:spacing w:before="0" w:after="120"/>
      </w:pPr>
      <w:r>
        <w:rPr>
          <w:i/>
          <w:color w:val="444444"/>
        </w:rPr>
        <w:t xml:space="preserve">A clause-by-clause reviewer checklist for New Mexico employee restrictive covenant agreements — confidentiality, non-solicits, non-competes, and non-disparagement under the Lovelace reasonableness test, the Piano consideration rule, and the § 24A-4-2 health-care practitioner ban.</w:t>
      </w:r>
    </w:p>
    <w:p>
      <w:pPr>
        <w:spacing w:before="0" w:after="240"/>
      </w:pPr>
      <w:r>
        <w:rPr>
          <w:color w:val="666666"/>
          <w:sz w:val="18"/>
          <w:szCs w:val="18"/>
        </w:rPr>
        <w:t xml:space="preserve">By Steven Obiajulu, J.D. Last reviewed 2026-06-12. License: CC BY 4.0. https://openagreements.org/legal/non-compete/new-mexico-review-checklist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New Mexico court would: an ordinary covenant lives or dies on reasonableness and real consideration, while a statute makes covered health-care practitioner non-competes unenforceable outright once the relationship ends. For the question-by-question legal analysis behind these items, see the </w:t>
      </w:r>
      <w:r>
        <w:t xml:space="preserve">New Mexico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Who the parties are can decide whether the practitioner statute applies at all: agreements between health-care practitioners who are shareholders, owners, partners, or directors of a practice sit outside it. Confirm whether the signing entities make this an employment covenant or an owner-to-owner deal before reaching anything else.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execution date does statutory work in New Mexico: psychologists, physician assistants, and pharmacists are covered by the practitioner ban only for agreements, renewals, or extensions executed on or after the effective date of the 2023 act. An undated covenant leaves its own coverage indeterminate.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The role is the first gate here. Ten practitioner licenses — from dentists and physicians through psychologists, physician assistants, and pharmacists — trigger the statutory ban, and outside that class the title frames which proprietary interests the worker could plausibly threaten.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treat a foreign-law clause on an agreement for clinical health-care services rendered in New Mexico as void rather than clever, because the statute strikes those provisions no matter how they are worded.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what New Mexico will actually protect: general skills and knowledge are not trade secrets, so a definition sweeping in everything the worker learned on the job overclaims — and weakens every covenant that leans on it for a legitimate interest.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test: independent economic value from secrecy, plus efforts reasonable under the circumstances to keep the secret. A trade-secret definition unmoored from those two elements claims material the trade secrets act will not back when it matters.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New Mexico tests duration on the facts of the particular case — no fixed cap, no safe harbor — so the period needs a factual story connecting its length to the interest it protects.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Match the radius to where the employee actually practiced or sold. A New Mexico district court confronted with a one-hundred-mile dental restriction cut it to thirty miles — geography sized to ambition rather than to the worker's real territory is the most visible overreach in the file.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during a stated look-back window. The leading New Mexico caution involved customer information that was not peculiar and did not require special information — a whole-book-of-business definition built on ordinary knowledge fails the interest test.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dealt with during the look-back window. For covered health-care practitioners, remember the statute preserves employee non-solicits only for a period of one year or less after the last date of employment — the class definition and the duration travel together.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because reasonableness is measured against them: New Mexico enforces employment covenants only when the restrictions imposed are reasonable, and a recital that protects nothing concrete reads as a naked restraint on work rather than a shield for something the employer owns.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employer actually does. An open-ended definition forces the reasonableness analysis to assume the widest reading — and a New Mexico court has no settled obligation to shrink it unless the contract itself supplies that power.</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the worker far past any legitimate interest and hands the other side an easy overbreadth argument.</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threshold language instead of defining a capitalized term. If the term appears, check that its percentage agrees with the operative carve-out it serves.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and check whether passively receiving an inquiry counts as a breach. The looser the definition, the heavier the restraint weighs on the employee's side of the reasonableness balance — and the harder it becomes to defend as protection rather than punishment.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This trigger does double duty in New Mexico: it starts the restricted period, and for covered practitioners the statutory unenforceability attaches on termination of the agreement, of a renewal or extension, or of the employment itself. The definition cannot be ambiguous about which event happened and when.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New consideration for mid-stream covenants</w:t>
      </w:r>
      <w:r>
        <w:t xml:space="preserve"> — Avoid (SHOULD NOT)</w:t>
      </w:r>
    </w:p>
    <w:p>
      <w:pPr>
        <w:spacing w:before="0" w:after="120"/>
        <w:ind w:left="540"/>
      </w:pPr>
      <w:r>
        <w:t xml:space="preserve">For a covenant signed after employment began, do not accept a recital of continued at-will employment as the consideration: New Mexico treats that promise as illusory, and an agreement without consideration was never formed at all. Look for a documented raise, bonus, promotion, equity grant, or other new benefit dated to the signing; for an at-hire covenant, confirm the agreement records that signing was a condition of the offer itself.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New Mexico statute demands it, but the reasonableness balance weighs how harshly the restraint lands on the worker — and a documented opportunity to take the agreement to a lawyer before signing is cheap evidence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federal law and New Mexico's trade secrets act both key the right to continued secrecy rather than to a calendar date. A fixed expiry on trade-secret protection gives away the one interest in the agreement that lawfully lasts forever.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material operates as an indirect restraint on working with general knowledge — exactly the category New Mexico refuses to protect — and the two-track structure keeps the perpetual obligation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New Mexico: omit the immunity notice and the employer forfeits exemplary damages and attorney fees in a later trade-secret suit against the worker. That forfeiture stings here, because trade-secret remedies are the main fallback when a covenant fails the reasonableness test or the practitioner ban.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outranks a subpoena, and the carve-out keeps the worker from being squeezed between the contract and a legal duty.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New Mexico the certification earns its keep twice: trade-secret status itself depends on efforts that are reasonable under the circumstances to maintain secrecy, and a documented return process is exactly the kind of effort a court looks for.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comparatively low-risk when scoped to colleagues the worker actually dealt with. For a covered health-care practitioner, check the duration first: the statute preserves employee non-solicits only for one year or less after the last date of employment, so a longer term fails before reasonableness ever comes up.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Generally the easier covenant to defend when limited to customers the worker served. For covered practitioners, the patient non-solicit survives the statutory ban only at one year or less — a two-year patient clause is not a negotiating position, it is an unenforceable one.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heavier restraint than a non-solicit, and one that weighs against the employer in the balancing, because the public also has an interest in competition not being unreasonably limited. Treat its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this clause appears, route the review through the New Mexico gates at the end of this checklist first: the health-care practitioner ban, then reasonableness, consideration, and a genuine protectable interest. Ordinary covenants are enforceable when a court deems them reasonable — no more, no less.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an open-ended definition. A named list is the cleanest evidence that the restraint protects an identified interest rather than punishing departure — exactly the showing the reasonableness test rewards.</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ban with no carve-out swells the hardship side of the balance for very little protective gain.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Health-care practitioner rights and notices</w:t>
      </w:r>
      <w:r>
        <w:t xml:space="preserve"> — Recommended (SHOULD)</w:t>
      </w:r>
    </w:p>
    <w:p>
      <w:pPr>
        <w:spacing w:before="0" w:after="120"/>
        <w:ind w:left="540"/>
      </w:pPr>
      <w:r>
        <w:t xml:space="preserve">In New Mexico this clause carries the heaviest state-specific load, and it reaches well past physicians. It should state the rule plainly: a non-compete restricting a covered practitioner's clinical services is unenforceable when the agreement, a renewal or extension, or the employment ends; the covered class spans ten licenses from dentists through pharmacists; and the lawful fallbacks are the statute's preserved tools — early-departure repayment provisions, NDAs, one-year non-solicits, and reasonable liquidated damages.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earns extra value on intake in New Mexico: an incoming practitioner's prior covenant may be unenforceable under the practitioner statute, and the representation surfaces that analysis before a dispute does rather than after.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tortious-interference sensitivity attached. Warning a new employer off a covered practitioner on the strength of a non-compete the statute makes unenforceable invites exactly the dispute the clause was meant to prevent — if the clause appears, condition any disclosure on a covenant that actually survives New Mexico review.</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an open New Mexico question. The staged cases enforce or reform fixed restricted periods and announce no tolling rule, so a tolling clause should be drafted as its own restraint, tied to proven breach and a legitimate interest, with no assumption that a court will add time after the original period expires.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note the statutory backstop: actual or threatened trade-secret misappropriation can be enjoined regardless of how the covenant itself fares, which is one more reason to keep the trade-secret architecture clean.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 one-way employer clause adds hardship weight to the reasonableness balance without adding enforceability.</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Reformation written into the contract</w:t>
      </w:r>
      <w:r>
        <w:t xml:space="preserve"> — Recommended (SHOULD)</w:t>
      </w:r>
    </w:p>
    <w:p>
      <w:pPr>
        <w:spacing w:before="0" w:after="120"/>
        <w:ind w:left="540"/>
      </w:pPr>
      <w:r>
        <w:t xml:space="preserve">In New Mexico the severability and reformation clause is not filler — it may be the only basis a court has to narrow an overbroad covenant. The leading modification case upheld a reduced radius because the agreement expressly authorized amendment of unenforceable provisions and enforcement to the full reasonable extent, while declining to decide whether courts could do that without such language. Confirm the clause is present and explicit, then verify the primary restriction is drafted narrowly enough that nobody needs it.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For covered practitioners the audit is sharper still: the surviving patient and employee non-solicits cap at one year after the last date of employment, and a bundled survival clause is exactly where a longer, unenforceable duration hides.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successor inherits the New Mexico analysis along with the covenant: reasonableness gets re-measured against the enforcing business's actual market and interests, and the practitioner ban does not care which entity is trying to enforce.</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New Mexico law for clinical-services agreements</w:t>
      </w:r>
      <w:r>
        <w:t xml:space="preserve"> — Prohibited (MUST NOT)</w:t>
      </w:r>
    </w:p>
    <w:p>
      <w:pPr>
        <w:spacing w:before="0" w:after="120"/>
        <w:ind w:left="540"/>
      </w:pPr>
      <w:r>
        <w:t xml:space="preserve">For an agreement covering clinical health-care services rendered in New Mexico, a provision choosing another state's law or requiring litigation in another state is void, unenforceable, and against public policy — flag either one as a form that was never localized, because neither can carry the covenant past the practitioner statute. The clause should still state governing law, venue, and process; outside the health-care statute, do not assume a foreign-law selection controls a restraint operating in New Mexico without a conflicts and public-policy analysis behind it.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New Mexico trap inside: the practitioner statute reaches renewals and extensions, and the 2023-act classes are covered for agreements, renewals, or extensions executed on or after that act took effect — so a routine renewal can pull an older psychologist, physician assistant, or pharmacist covenant into the ban. Review the amendment mechanics with that timing in mind. </w:t>
      </w:r>
    </w:p>
    <w:p>
      <w:pPr>
        <w:keepNext/>
        <w:spacing w:before="360" w:after="160"/>
      </w:pPr>
      <w:r>
        <w:rPr>
          <w:b/>
          <w:sz w:val="28"/>
          <w:szCs w:val="28"/>
        </w:rPr>
        <w:t xml:space="preserve">19. New Mexico gates (reasonableness and the health-care practitioner statute)</w:t>
      </w:r>
    </w:p>
    <w:p>
      <w:pPr>
        <w:spacing w:before="0" w:after="120"/>
      </w:pPr>
      <w:r>
        <w:t xml:space="preserve">The four items below exist only on this New Mexico page: the common-law reasonableness gate every covenant must pass, the health-care practitioner ban, the statutory limits on the surviving fallback tools, and the more deferential review that a genuine sale-of-business covenant earns.</w:t>
      </w:r>
    </w:p>
    <w:p>
      <w:pPr>
        <w:keepNext/>
        <w:spacing w:before="200" w:after="80"/>
      </w:pPr>
      <w:r>
        <w:rPr>
          <w:rFonts w:ascii="Segoe UI Symbol" w:hAnsi="Segoe UI Symbol"/>
        </w:rPr>
        <w:t xml:space="preserve">☐  </w:t>
      </w:r>
      <w:r>
        <w:rPr>
          <w:b/>
        </w:rPr>
        <w:t xml:space="preserve">19.1  </w:t>
      </w:r>
      <w:r>
        <w:rPr>
          <w:b/>
        </w:rPr>
        <w:t xml:space="preserve">Reasonable restraint tied to a real interest</w:t>
      </w:r>
      <w:r>
        <w:t xml:space="preserve"> — Required (MUST)</w:t>
      </w:r>
    </w:p>
    <w:p>
      <w:pPr>
        <w:spacing w:before="0" w:after="120"/>
        <w:ind w:left="540"/>
      </w:pPr>
      <w:r>
        <w:t xml:space="preserve">Run every restraint through the questions a New Mexico court will ask: is it reasonable in time, geography, and scope, and does it protect a specific legitimate interest rather than punish competition? Employment covenants are enforceable when the restrictions imposed are reasonable, and ordinarily only then — while general skills and knowledge can never carry one. Demand that the time and territory connect to an identified interest on the facts: trade secrets, genuinely confidential information, or customer goodwill the worker actually held. </w:t>
      </w:r>
    </w:p>
    <w:p>
      <w:pPr>
        <w:keepNext/>
        <w:spacing w:before="200" w:after="80"/>
      </w:pPr>
      <w:r>
        <w:rPr>
          <w:rFonts w:ascii="Segoe UI Symbol" w:hAnsi="Segoe UI Symbol"/>
        </w:rPr>
        <w:t xml:space="preserve">☐  </w:t>
      </w:r>
      <w:r>
        <w:rPr>
          <w:b/>
        </w:rPr>
        <w:t xml:space="preserve">19.2  </w:t>
      </w:r>
      <w:r>
        <w:rPr>
          <w:b/>
        </w:rPr>
        <w:t xml:space="preserve">No non-competes for covered practitioners</w:t>
      </w:r>
      <w:r>
        <w:t xml:space="preserve"> — Prohibited (MUST NOT)</w:t>
      </w:r>
    </w:p>
    <w:p>
      <w:pPr>
        <w:spacing w:before="0" w:after="120"/>
        <w:ind w:left="540"/>
      </w:pPr>
      <w:r>
        <w:t xml:space="preserve">If the worker holds one of the ten covered licenses — dentist, osteopathic physician, physician, podiatrist, certified registered nurse anesthetist, certified nurse practitioner, certified nurse-midwife, psychologist, physician assistant, or pharmacist — a non-compete restricting clinical health-care services in New Mexico is unenforceable when the agreement, a renewal or extension, or the employment ends, and ordinary reasonableness cannot rescue it. For psychologists, physician assistants, and pharmacists, coverage attaches to agreements, renewals, or extensions executed on or after the 2023 act. The one exemption to verify: agreements between practitioners who are shareholders, owners, partners, or directors of the practice sit outside the article. </w:t>
      </w:r>
    </w:p>
    <w:p>
      <w:pPr>
        <w:keepNext/>
        <w:spacing w:before="200" w:after="80"/>
      </w:pPr>
      <w:r>
        <w:rPr>
          <w:rFonts w:ascii="Segoe UI Symbol" w:hAnsi="Segoe UI Symbol"/>
        </w:rPr>
        <w:t xml:space="preserve">☐  </w:t>
      </w:r>
      <w:r>
        <w:rPr>
          <w:b/>
        </w:rPr>
        <w:t xml:space="preserve">19.3  </w:t>
      </w:r>
      <w:r>
        <w:rPr>
          <w:b/>
        </w:rPr>
        <w:t xml:space="preserve">Fallback tools within statutory limits</w:t>
      </w:r>
      <w:r>
        <w:t xml:space="preserve"> — Prohibited (MUST NOT)</w:t>
      </w:r>
    </w:p>
    <w:p>
      <w:pPr>
        <w:spacing w:before="0" w:after="120"/>
        <w:ind w:left="540"/>
      </w:pPr>
      <w:r>
        <w:t xml:space="preserve">The statute leaves the employer real tools, each with a hard edge to verify. Patient and employee non-solicits survive only for one year or less after the last date of employment. Repayment provisions work only against a practitioner whose initial period of work was under three years, and only for loans, relocation expenses, signing bonuses or similar relocation inducements, and recruiting, education, and training expenses. NDAs for confidential information and trade secrets stand, and liquidated damages must be reasonable at execution in light of anticipated harm and the difficulty of proving loss — an outsized figure is a penalty, not a workaround for the ban. </w:t>
      </w:r>
    </w:p>
    <w:p>
      <w:pPr>
        <w:keepNext/>
        <w:spacing w:before="200" w:after="80"/>
      </w:pPr>
      <w:r>
        <w:rPr>
          <w:rFonts w:ascii="Segoe UI Symbol" w:hAnsi="Segoe UI Symbol"/>
        </w:rPr>
        <w:t xml:space="preserve">☐  </w:t>
      </w:r>
      <w:r>
        <w:rPr>
          <w:b/>
        </w:rPr>
        <w:t xml:space="preserve">19.4  </w:t>
      </w:r>
      <w:r>
        <w:rPr>
          <w:b/>
        </w:rPr>
        <w:t xml:space="preserve">Sale-of-business covenants sized to the deal</w:t>
      </w:r>
      <w:r>
        <w:t xml:space="preserve"> — Recommended (SHOULD)</w:t>
      </w:r>
    </w:p>
    <w:p>
      <w:pPr>
        <w:spacing w:before="0" w:after="120"/>
        <w:ind w:left="540"/>
      </w:pPr>
      <w:r>
        <w:t xml:space="preserve">When the covenant rides a business sale, review it against the deal rather than the employment default: a restrictive covenant within reasonable limits of time and space and ancillary to a sale of a business is valid, and courts are more reluctant to disturb buy-sell covenants than employment ones. The purchase price, the payout period, the seller's prominence, and the purchased goodwill are what justify the breadth — confirm the covenant is genuinely ancillary to the sale, entered voluntarily and for consideration, and sized to what the buyer actually paid for. </w:t>
      </w:r>
    </w:p>
    <w:p>
      <w:pPr>
        <w:spacing w:before="360" w:after="0"/>
      </w:pPr>
      <w:r>
        <w:rPr>
          <w:color w:val="666666"/>
          <w:sz w:val="16"/>
          <w:szCs w:val="16"/>
        </w:rPr>
        <w:t xml:space="preserve">Steven Obiajulu, J.D. edits this review checklist for New Mexico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