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North Dakota</w:t>
      </w:r>
    </w:p>
    <w:p>
      <w:pPr>
        <w:spacing w:before="0" w:after="120"/>
      </w:pPr>
      <w:r>
        <w:rPr>
          <w:i/>
          <w:color w:val="444444"/>
        </w:rPr>
        <w:t xml:space="preserve">A clause-by-clause reviewer checklist for North Dakota restrictive covenant agreements — N.D.C.C. § 9-08-06 voids non-competes and customer non-solicits, so the review screens for void restraints and then checks the confidentiality, trade-secret, and anti-raiding clauses that survive.</w:t>
      </w:r>
    </w:p>
    <w:p>
      <w:pPr>
        <w:spacing w:before="0" w:after="240"/>
      </w:pPr>
      <w:r>
        <w:rPr>
          <w:color w:val="666666"/>
          <w:sz w:val="18"/>
          <w:szCs w:val="18"/>
        </w:rPr>
        <w:t xml:space="preserve">By Steven Obiajulu, J.D. Last reviewed 2026-06-11. License: CC BY 4.0. https://openagreements.org/legal/non-compete/north-dakota-review-checklist</w:t>
      </w:r>
    </w:p>
    <w:p>
      <w:pPr>
        <w:keepNext/>
        <w:spacing w:before="360" w:after="160"/>
      </w:pPr>
      <w:r>
        <w:rPr>
          <w:b/>
          <w:sz w:val="28"/>
          <w:szCs w:val="28"/>
        </w:rPr>
        <w:t xml:space="preserve">1. Parties and cover-term identification</w:t>
      </w:r>
    </w:p>
    <w:p>
      <w:pPr>
        <w:spacing w:before="0" w:after="120"/>
      </w:pPr>
      <w:r>
        <w:t xml:space="preserve">Run this checklist the way a North Dakota court would read the agreement: the statute voids a contract restraining a lawful profession, trade, or business, so the first pass screens for restraints — including solicitation clauses drafted like restraints — and the second pass checks the covenant suite that survives. For the question-by-question legal analysis behind these items, see the </w:t>
      </w:r>
      <w:r>
        <w:t xml:space="preserve">North Dakota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entity named is the one that actually employs the worker and owns the information at stake. With competition restraints off the table, North Dakota enforcement runs through trade-secret and loyalty theories — and those claims belong to the entity holding the secrets and the employment relationship, not to an affiliate on the signature line.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surviving obligations — confidentiality terms, the anti-raiding window — still need a defined start point, and any covenant claiming the sale-of-goodwill or owner-exit exception must run for a reasonable length of time measured from somewhere. An undated agreement leaves every one of those clocks unanchored.</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Note the role, but do not expect it to change the outcome: North Dakota has no executive or professional carve-out, and its courts have voided restraints against insurance agents and emergency-room physicians alike. Title matters mainly as evidence of what protected information the worker actually touches.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which state is named — and treat any non-North-Dakota selection covering a North Dakota worker as a primary red flag rather than housekeeping. The state supreme court refuses to let parties contract for another forum or body of law when the natural result is enforcing a non-compete against North Dakota public policy.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North Dakota this definition carries the load the non-compete cannot. It should describe genuinely protected information rather than everything the worker ever learned — a definition that sweeps in general skills or public knowledge invites the argument that the clause restrains the trade itself instead of guarding secrets.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Check the defined term against the statutory anchor: information deriving independent economic value from secrecy, subject to reasonable secrecy efforts. The closer the contract tracks North Dakota's Uniform Trade Secrets Act, the more of the employer's protection survives in a state where the restraint-based alternatives are void.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Only the surviving covenants need a clock here — chiefly the anti-raiding employee non-solicit and any finite confidentiality term. Confirm the defined period is referenced consistently: a period attached to a void restraint does no work, while an undefined one muddies the clauses that remain.</w:t>
      </w:r>
    </w:p>
    <w:p>
      <w:pPr>
        <w:keepNext/>
        <w:spacing w:before="200" w:after="80"/>
      </w:pPr>
      <w:r>
        <w:rPr>
          <w:rFonts w:ascii="Segoe UI Symbol" w:hAnsi="Segoe UI Symbol"/>
        </w:rPr>
        <w:t xml:space="preserve">☐  </w:t>
      </w:r>
      <w:r>
        <w:rPr>
          <w:b/>
        </w:rPr>
        <w:t xml:space="preserve">2.4  </w:t>
      </w:r>
      <w:r>
        <w:rPr>
          <w:b/>
        </w:rPr>
        <w:t xml:space="preserve">Covered employees</w:t>
      </w:r>
      <w:r>
        <w:t xml:space="preserve"> — Recommended (SHOULD)</w:t>
      </w:r>
    </w:p>
    <w:p>
      <w:pPr>
        <w:spacing w:before="0" w:after="120"/>
        <w:ind w:left="540"/>
      </w:pPr>
      <w:r>
        <w:t xml:space="preserve">The anti-raiding covenant earns its narrow shelter by staying narrow. Keep the protected class to colleagues the departing worker actually worked with or could influence — a definition reaching the entire workforce reads like the broad restraint the statute voids rather than the targeted clause the supreme court let stand. </w:t>
      </w:r>
    </w:p>
    <w:p>
      <w:pPr>
        <w:keepNext/>
        <w:spacing w:before="200" w:after="80"/>
      </w:pPr>
      <w:r>
        <w:rPr>
          <w:rFonts w:ascii="Segoe UI Symbol" w:hAnsi="Segoe UI Symbol"/>
        </w:rPr>
        <w:t xml:space="preserve">☐  </w:t>
      </w:r>
      <w:r>
        <w:rPr>
          <w:b/>
        </w:rPr>
        <w:t xml:space="preserve">2.5  </w:t>
      </w:r>
      <w:r>
        <w:rPr>
          <w:b/>
        </w:rPr>
        <w:t xml:space="preserve">Protected business interests</w:t>
      </w:r>
      <w:r>
        <w:t xml:space="preserve"> — Recommended (SHOULD)</w:t>
      </w:r>
    </w:p>
    <w:p>
      <w:pPr>
        <w:spacing w:before="0" w:after="120"/>
        <w:ind w:left="540"/>
      </w:pPr>
      <w:r>
        <w:t xml:space="preserve">A protected-interests recital cannot buy back a void restraint — the supreme court declined to carve judicial exceptions out of the statute and pointed employers at trade-secret legislation instead. Use the definition to identify the specific information assets the confidentiality and trade-secret clauses guard, not to argue for a covenant the statute forbids. </w:t>
      </w:r>
    </w:p>
    <w:p>
      <w:pPr>
        <w:keepNext/>
        <w:spacing w:before="200" w:after="80"/>
      </w:pPr>
      <w:r>
        <w:rPr>
          <w:rFonts w:ascii="Segoe UI Symbol" w:hAnsi="Segoe UI Symbol"/>
        </w:rPr>
        <w:t xml:space="preserve">☐  </w:t>
      </w:r>
      <w:r>
        <w:rPr>
          <w:b/>
        </w:rPr>
        <w:t xml:space="preserve">2.6  </w:t>
      </w:r>
      <w:r>
        <w:rPr>
          <w:b/>
        </w:rPr>
        <w:t xml:space="preserve">Small public-stock carve-out</w:t>
      </w:r>
      <w:r>
        <w:t xml:space="preserve"> — Recommended (SHOULD)</w:t>
      </w:r>
    </w:p>
    <w:p>
      <w:pPr>
        <w:spacing w:before="0" w:after="120"/>
        <w:ind w:left="540"/>
      </w:pPr>
      <w:r>
        <w:t xml:space="preserve">Wherever ownership or investment in competitors is restricted, look for the passive public-holdings carve-out below a stated threshold. North Dakota measures restraint by practical effect — a worker who must give something up to take part in a lawful business is restrained — so a clause that technically forbids holding ordinary public shares is gratuitous exposure. </w:t>
      </w:r>
    </w:p>
    <w:p>
      <w:pPr>
        <w:keepNext/>
        <w:spacing w:before="200" w:after="80"/>
      </w:pPr>
      <w:r>
        <w:rPr>
          <w:rFonts w:ascii="Segoe UI Symbol" w:hAnsi="Segoe UI Symbol"/>
        </w:rPr>
        <w:t xml:space="preserve">☐  </w:t>
      </w:r>
      <w:r>
        <w:rPr>
          <w:b/>
        </w:rPr>
        <w:t xml:space="preserve">2.7  </w:t>
      </w:r>
      <w:r>
        <w:rPr>
          <w:b/>
        </w:rPr>
        <w:t xml:space="preserve">Passive public holdings</w:t>
      </w:r>
      <w:r>
        <w:t xml:space="preserve"> — Optional (MAY)</w:t>
      </w:r>
    </w:p>
    <w:p>
      <w:pPr>
        <w:spacing w:before="0" w:after="120"/>
        <w:ind w:left="540"/>
      </w:pPr>
      <w:r>
        <w:t xml:space="preserve">Optional drafting mechanics. If the capitalized term appears, confirm its percentage threshold matches the operative carve-out it supports; if the carve-out is inlined without a defined term, nothing is missing.</w:t>
      </w:r>
    </w:p>
    <w:p>
      <w:pPr>
        <w:keepNext/>
        <w:spacing w:before="200" w:after="80"/>
      </w:pPr>
      <w:r>
        <w:rPr>
          <w:rFonts w:ascii="Segoe UI Symbol" w:hAnsi="Segoe UI Symbol"/>
        </w:rPr>
        <w:t xml:space="preserve">☐  </w:t>
      </w:r>
      <w:r>
        <w:rPr>
          <w:b/>
        </w:rPr>
        <w:t xml:space="preserve">2.8  </w:t>
      </w:r>
      <w:r>
        <w:rPr>
          <w:b/>
        </w:rPr>
        <w:t xml:space="preserve">What counts as soliciting</w:t>
      </w:r>
      <w:r>
        <w:t xml:space="preserve"> — Recommended (SHOULD)</w:t>
      </w:r>
    </w:p>
    <w:p>
      <w:pPr>
        <w:spacing w:before="0" w:after="120"/>
        <w:ind w:left="540"/>
      </w:pPr>
      <w:r>
        <w:t xml:space="preserve">This definition decides whether the surviving covenant stays inside its shelter. The clause the supreme court upheld penalized only soliciting or influencing an employee to leave — active conduct — and the federal court in this district required competent evidence of exactly that before granting relief. A definition that also captures passively receiving inquiries stretches past both holdings. </w:t>
      </w:r>
    </w:p>
    <w:p>
      <w:pPr>
        <w:keepNext/>
        <w:spacing w:before="200" w:after="80"/>
      </w:pPr>
      <w:r>
        <w:rPr>
          <w:rFonts w:ascii="Segoe UI Symbol" w:hAnsi="Segoe UI Symbol"/>
        </w:rPr>
        <w:t xml:space="preserve">☐  </w:t>
      </w:r>
      <w:r>
        <w:rPr>
          <w:b/>
        </w:rPr>
        <w:t xml:space="preserve">2.9  </w:t>
      </w:r>
      <w:r>
        <w:rPr>
          <w:b/>
        </w:rPr>
        <w:t xml:space="preserve">Termination of employment</w:t>
      </w:r>
      <w:r>
        <w:t xml:space="preserve"> — Recommended (SHOULD)</w:t>
      </w:r>
    </w:p>
    <w:p>
      <w:pPr>
        <w:spacing w:before="0" w:after="120"/>
        <w:ind w:left="540"/>
      </w:pPr>
      <w:r>
        <w:t xml:space="preserve">Pin down the trigger event so resignation, dismissal, and the expiry of a fixed term all start the same clocks. Ambiguity here infects the anti-raiding window and the confidentiality term — the obligations a North Dakota court will actually enforce.</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Record when the agreement was signed relative to the start of employment and what consideration moved. North Dakota disputes rarely turn on consideration mechanics — the void rule disposes of most fights first — but a clean timing record supports the covenants that survive and the trade-secret claims that may follow them.</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Inexpensive process evidence. No North Dakota statute requires it, but an acknowledged opportunity to take advice supports the fairness of the obligations that remain enforceable — and shows the employer treated the agreement as more than onboarding paperwork.</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the federal definition and North Dakota's own act both key protection to continued secrecy, not to a contract date. In a ban state this matters twice over: trade-secret law is the employer's main post-employment protection, and a fixed expiry voluntarily surrenders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a finite term on its own track, separate from the perpetual trade-secret obligation. An everything-forever clause is the kind of open-ended burden that invites a court to read the confidentiality covenant as a restraint on the trade rather than a guard on information.</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Fully applicable in North Dakota. Omitting the federal immunity notice forfeits exemplary damages and attorney fees in a later trade-secret action against the worker — and trade-secret remedies are precisely the relief a North Dakota employer is left holding.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Wages, hours, and working conditions must stay discussable no matter which state governs. Federal labor law protects that concerted activity, and the Board has been striking confidentiality and non-disparagement language broad enough to sweep it in.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standard carve-out for disclosure required by law, court order, or a government investigation, with notice to the employer where lawful. No confidentiality clause can outrun a subpoena; the carve-out keeps the worker from being contractually penalized for complying with one.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 North Dakota employer's post-employment protection runs through misappropriation claims rather than covenants, the certification is the contemporaneous record that the worker left with nothing — or the first exhibit when protected material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 kept to anti-raiding</w:t>
      </w:r>
      <w:r>
        <w:t xml:space="preserve"> — Required (MUST)</w:t>
      </w:r>
    </w:p>
    <w:p>
      <w:pPr>
        <w:spacing w:before="0" w:after="120"/>
        <w:ind w:left="540"/>
      </w:pPr>
      <w:r>
        <w:t xml:space="preserve">The one post-employment covenant with a clear North Dakota shelter — and the shelter is exactly as wide as the clause is narrow. It must penalize only soliciting or influencing employees to leave; audit for creep into hiring bans, customer-facing riders, or workforce-wide reach, any of which drops the clause back into the void rule. Even the lawful version is enforced only on real proof of solicitation. </w:t>
      </w:r>
    </w:p>
    <w:p>
      <w:pPr>
        <w:keepNext/>
        <w:spacing w:before="200" w:after="80"/>
      </w:pPr>
      <w:r>
        <w:rPr>
          <w:rFonts w:ascii="Segoe UI Symbol" w:hAnsi="Segoe UI Symbol"/>
        </w:rPr>
        <w:t xml:space="preserve">☐  </w:t>
      </w:r>
      <w:r>
        <w:rPr>
          <w:b/>
        </w:rPr>
        <w:t xml:space="preserve">7.2  </w:t>
      </w:r>
      <w:r>
        <w:rPr>
          <w:b/>
        </w:rPr>
        <w:t xml:space="preserve">No customer non-solicit</w:t>
      </w:r>
      <w:r>
        <w:t xml:space="preserve"> — Prohibited (MUST NOT)</w:t>
      </w:r>
    </w:p>
    <w:p>
      <w:pPr>
        <w:spacing w:before="0" w:after="120"/>
        <w:ind w:left="540"/>
      </w:pPr>
      <w:r>
        <w:t xml:space="preserve">Flag this clause on sight. The North Dakota Supreme Court treats post-employment customer solicitation and replacement restrictions as restraints of trade with no statutory exception, and it declined to create a judicial one — scoping the clause to a look-back window or material contacts does not change the analysis. The legitimate concern underneath it belongs in the trade-secret and confidentiality clauses. </w:t>
      </w:r>
    </w:p>
    <w:p>
      <w:pPr>
        <w:keepNext/>
        <w:spacing w:before="200" w:after="80"/>
      </w:pPr>
      <w:r>
        <w:rPr>
          <w:rFonts w:ascii="Segoe UI Symbol" w:hAnsi="Segoe UI Symbol"/>
        </w:rPr>
        <w:t xml:space="preserve">☐  </w:t>
      </w:r>
      <w:r>
        <w:rPr>
          <w:b/>
        </w:rPr>
        <w:t xml:space="preserve">7.3  </w:t>
      </w:r>
      <w:r>
        <w:rPr>
          <w:b/>
        </w:rPr>
        <w:t xml:space="preserve">No non-dealing covenant</w:t>
      </w:r>
      <w:r>
        <w:t xml:space="preserve"> — Prohibited (MUST NOT)</w:t>
      </w:r>
    </w:p>
    <w:p>
      <w:pPr>
        <w:spacing w:before="0" w:after="120"/>
        <w:ind w:left="540"/>
      </w:pPr>
      <w:r>
        <w:t xml:space="preserve">A no-business covenant bars serving customers who arrive unprompted — a restraint on the worker's lawful business that runs at least as deep as the solicitation and replacement clauses the supreme court already voids to that extent. If the draft contains one, the cure is removal, not narrowing. </w:t>
      </w:r>
    </w:p>
    <w:p>
      <w:pPr>
        <w:keepNext/>
        <w:spacing w:before="200" w:after="80"/>
      </w:pPr>
      <w:r>
        <w:rPr>
          <w:rFonts w:ascii="Segoe UI Symbol" w:hAnsi="Segoe UI Symbol"/>
        </w:rPr>
        <w:t xml:space="preserve">☐  </w:t>
      </w:r>
      <w:r>
        <w:rPr>
          <w:b/>
        </w:rPr>
        <w:t xml:space="preserve">7.4  </w:t>
      </w:r>
      <w:r>
        <w:rPr>
          <w:b/>
        </w:rPr>
        <w:t xml:space="preserve">No post-employment non-compete</w:t>
      </w:r>
      <w:r>
        <w:t xml:space="preserve"> — Prohibited (MUST NOT)</w:t>
      </w:r>
    </w:p>
    <w:p>
      <w:pPr>
        <w:spacing w:before="0" w:after="120"/>
        <w:ind w:left="540"/>
      </w:pPr>
      <w:r>
        <w:t xml:space="preserve">The headline rule of this page: a contract restraining a lawful profession, trade, or business is to that extent void, and ordinary employment non-competes fit neither statutory exception. The clause's presence is the finding. Escalate to the goodwill and owner-exit gate at the end of this checklist if a transaction is claimed; otherwise treat the covenant — and anything that exists only to serve it — as inoperative.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and unaddressed by North Dakota authority — which is not comfort. A clause restricting where the worker may invest can operate as a practical restraint on taking part in a lawful business, the exact analysis the courts apply to indirect restraints. Confirm the passive-holdings carve-out is intact and treat anything broader as a deliberate risk decision.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duration, and uncontroversial under North Dakota law — the void rule targets restraints on trade, not on insults. Audit the carve-outs instead: truthful testimony, statements to government agencies, and protected workplace speech must sit outside the clause, and federal labor law polices the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what North Dakota law already does. Physician restraints fall under the general void rule — the supreme court protected even negotiating future employment while a current contract was still running — and a hospital or nonprofit employing physicians by written contract must preserve the physician's independent medical judgment. No physician-specific ban exists because none is needed.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In North Dakota it doubles as an intake screen for covenants signed elsewhere: an out-of-state non-compete may prove unenforceable against North Dakota work, but surfacing it on day one beats discovering it in a demand letter.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Optional everywhere, and worth extra caution here: a notice program built around covenants that are void in North Dakota tells a new employer about restrictions that do not exist. If the clause appears, confine any disclosure to the obligations that actually survive — confidentiality, trade-secret, and the anti-raiding covenant.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a breach pauses the clock — but the only clocks that matter in North Dakota belong to the surviving covenants, and no statute or decision addresses extension. Watch the mechanism itself: an extension that operates as a penalty for competing walks into the same rule that voids competition penalties outright.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but it buys less here than elsewhere: the federal court in this district declined to enjoin alleged raiding without competent evidence of solicitation, recital or no recital. Treat the clause as supporting evidence, never as the showing itself.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under the default American Rule. Check that the mechanism does not shade into a price on competing: a fee or damages provision triggered by lawful post-employment competition is an indirect restraint, and North Dakota voids restraints that work by penalty as readily as those that work by prohibition.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Read the severability clause as an autopsy plan, not a parachute. The statute voids a restraint to that extent, and North Dakota's employment cases strike invalid restraints rather than trimming them to the bounds of reason. The partial-enforcement history lives only in sale-of-business settings, where a covenant tied to genuine goodwill was confined to the county the purchased business served — savings language inviting a court to rewrite an employee covenant has no rule to invoke.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the surviving suite auditable: perpetual for trade secrets, finite for ordinary confidential information, the anti-raiding window for the employee non-solicit — and nothing surviving for the clauses the statute voids. A bundled survival clause obscures exactly the distinctions this jurisdiction forces a reviewer to draw.</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for the obligations that survive — confidentiality and trade-secret protections should follow the business through a sale. What assignment cannot do is launder a restraint: a successor takes each covenant exactly as void or enforceable as the seller held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North Dakota law and forum for North Dakota workers</w:t>
      </w:r>
      <w:r>
        <w:t xml:space="preserve"> — Prohibited (MUST NOT)</w:t>
      </w:r>
    </w:p>
    <w:p>
      <w:pPr>
        <w:spacing w:before="0" w:after="120"/>
        <w:ind w:left="540"/>
      </w:pPr>
      <w:r>
        <w:t xml:space="preserve">For a North Dakota worker the clause must not route enforceability to another state — by chosen law, chosen forum, or the pair working together — when the natural result is enforcing a non-compete North Dakota public policy forbids. The supreme court refused to honor exactly that maneuver, and the foreign-forum statute independently lets a court decline an exclusive out-of-state forum that would be unfair or unreasonable. Still expect the clause to name law, venue, and process; it simply cannot serve as the escape hatch.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an integration clause that merges in covenants from offer letters, incentive plans, or commission schedules can quietly import a void restraint or a forfeiture trigger. Confirm what the merger language actually pulls into the agreement before signing off on it.</w:t>
      </w:r>
    </w:p>
    <w:p>
      <w:pPr>
        <w:keepNext/>
        <w:spacing w:before="360" w:after="160"/>
      </w:pPr>
      <w:r>
        <w:rPr>
          <w:b/>
          <w:sz w:val="28"/>
          <w:szCs w:val="28"/>
        </w:rPr>
        <w:t xml:space="preserve">19. North Dakota statutory gates (N.D.C.C. § 9-08-06)</w:t>
      </w:r>
    </w:p>
    <w:p>
      <w:pPr>
        <w:spacing w:before="0" w:after="120"/>
      </w:pPr>
      <w:r>
        <w:t xml:space="preserve">The four items below exist only on this North Dakota page: they implement the void rule's exception gate and the red-line doctrines — competition forfeitures, repackaged restraints —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Goodwill or owner-exit substance behind any exception covenant</w:t>
      </w:r>
      <w:r>
        <w:t xml:space="preserve"> — Required (MUST)</w:t>
      </w:r>
    </w:p>
    <w:p>
      <w:pPr>
        <w:spacing w:before="0" w:after="120"/>
        <w:ind w:left="540"/>
      </w:pPr>
      <w:r>
        <w:t xml:space="preserve">A covenant defended under the statutory exceptions must rest on a genuine sale of business goodwill or on a partner, member, or shareholder dissolution, dissociation, or ownership-interest sale — and must stay within a reasonable geographic area and length of time. Test substance, not labels: the supreme court held a 1/200th equity sale cannot transfer goodwill as a matter of law, and the exception validates only covenants connected with the goodwill actually sold. </w:t>
      </w:r>
    </w:p>
    <w:p>
      <w:pPr>
        <w:keepNext/>
        <w:spacing w:before="200" w:after="80"/>
      </w:pPr>
      <w:r>
        <w:rPr>
          <w:rFonts w:ascii="Segoe UI Symbol" w:hAnsi="Segoe UI Symbol"/>
        </w:rPr>
        <w:t xml:space="preserve">☐  </w:t>
      </w:r>
      <w:r>
        <w:rPr>
          <w:b/>
        </w:rPr>
        <w:t xml:space="preserve">19.2  </w:t>
      </w:r>
      <w:r>
        <w:rPr>
          <w:b/>
        </w:rPr>
        <w:t xml:space="preserve">No pay forfeitures for competing</w:t>
      </w:r>
      <w:r>
        <w:t xml:space="preserve"> — Prohibited (MUST NOT)</w:t>
      </w:r>
    </w:p>
    <w:p>
      <w:pPr>
        <w:spacing w:before="0" w:after="120"/>
        <w:ind w:left="540"/>
      </w:pPr>
      <w:r>
        <w:t xml:space="preserve">Sweep the compensation provisions, not just the covenants article: bonus clawbacks, deferred-compensation forfeitures, termination-pay conditions, and liquidated damages triggered by post-employment competition are indirect restraints. North Dakota asks whether the worker must buy back the freedom to compete, and it voids penalty mechanisms as readily as outright prohibitions. </w:t>
      </w:r>
    </w:p>
    <w:p>
      <w:pPr>
        <w:keepNext/>
        <w:spacing w:before="200" w:after="80"/>
      </w:pPr>
      <w:r>
        <w:rPr>
          <w:rFonts w:ascii="Segoe UI Symbol" w:hAnsi="Segoe UI Symbol"/>
        </w:rPr>
        <w:t xml:space="preserve">☐  </w:t>
      </w:r>
      <w:r>
        <w:rPr>
          <w:b/>
        </w:rPr>
        <w:t xml:space="preserve">19.3  </w:t>
      </w:r>
      <w:r>
        <w:rPr>
          <w:b/>
        </w:rPr>
        <w:t xml:space="preserve">Confidentiality not a disguised non-compete</w:t>
      </w:r>
      <w:r>
        <w:t xml:space="preserve"> — Prohibited (MUST NOT)</w:t>
      </w:r>
    </w:p>
    <w:p>
      <w:pPr>
        <w:spacing w:before="0" w:after="120"/>
        <w:ind w:left="540"/>
      </w:pPr>
      <w:r>
        <w:t xml:space="preserve">Read the confidentiality and trade-secret clauses for repackaged restraints: language that bars working for competitors or serving customers under the banner of protecting information inherits the void rule rather than the trade-secret safe ground. The supreme court pointed employers at trade-secret legislation precisely so the statute would need no judicial exceptions — keep the clause on that footing, scoped to information with genuine secrecy value. </w:t>
      </w:r>
    </w:p>
    <w:p>
      <w:pPr>
        <w:keepNext/>
        <w:spacing w:before="200" w:after="80"/>
      </w:pPr>
      <w:r>
        <w:rPr>
          <w:rFonts w:ascii="Segoe UI Symbol" w:hAnsi="Segoe UI Symbol"/>
        </w:rPr>
        <w:t xml:space="preserve">☐  </w:t>
      </w:r>
      <w:r>
        <w:rPr>
          <w:b/>
        </w:rPr>
        <w:t xml:space="preserve">19.4  </w:t>
      </w:r>
      <w:r>
        <w:rPr>
          <w:b/>
        </w:rPr>
        <w:t xml:space="preserve">Protection built on trade-secret and loyalty tools</w:t>
      </w:r>
      <w:r>
        <w:t xml:space="preserve"> — Recommended (SHOULD)</w:t>
      </w:r>
    </w:p>
    <w:p>
      <w:pPr>
        <w:spacing w:before="0" w:after="120"/>
        <w:ind w:left="540"/>
      </w:pPr>
      <w:r>
        <w:t xml:space="preserve">The strongest North Dakota agreement leans on what the state actually enforces: injunctions against actual or threatened misappropriation, damages for actual loss and unjust enrichment, the during-employment duty to prefer the employer's business, and equitable relief against secretly soliciting clients while still employed. If the draft's only real protection is a restraint, the employer has none. </w:t>
      </w:r>
    </w:p>
    <w:p>
      <w:pPr>
        <w:spacing w:before="360" w:after="0"/>
      </w:pPr>
      <w:r>
        <w:rPr>
          <w:color w:val="666666"/>
          <w:sz w:val="16"/>
          <w:szCs w:val="16"/>
        </w:rPr>
        <w:t xml:space="preserve">Steven Obiajulu, J.D. edits this review checklist for North Dakota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