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South Dakota</w:t>
      </w:r>
    </w:p>
    <w:p>
      <w:pPr>
        <w:spacing w:before="0" w:after="120"/>
      </w:pPr>
      <w:r>
        <w:rPr>
          <w:i/>
          <w:color w:val="444444"/>
        </w:rPr>
        <w:t xml:space="preserve">A clause-by-clause reviewer checklist for South Dakota employee restrictive covenant agreements — confidentiality, non-solicits, non-competes, and non-disparagement under SDCL 53-9-11's statutory whitelist, the two-year and specified-area limits, the existing-customer rule, and the healthcare practitioner provision.</w:t>
      </w:r>
    </w:p>
    <w:p>
      <w:pPr>
        <w:spacing w:before="0" w:after="240"/>
      </w:pPr>
      <w:r>
        <w:rPr>
          <w:color w:val="666666"/>
          <w:sz w:val="18"/>
          <w:szCs w:val="18"/>
        </w:rPr>
        <w:t xml:space="preserve">By Steven Obiajulu, J.D. Last reviewed 2026-06-12. License: CC BY 4.0. https://openagreements.org/legal/non-compete/south-dakota-review-checklist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South Dakota court would: the baseline statute voids any restraint on a lawful profession, trade, or business except for the exceptions written into chapter 53-9, and the cases read those exceptions narrowly. For the question-by-question legal analysis behind these items, see the </w:t>
      </w:r>
      <w:r>
        <w:t xml:space="preserve">South Dakota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party named as employer is the entity that actually employs the worker. The statutory exception runs between an employee and an employer — a covenant papered with an affiliate, a staffing entity, or a customer that never employed the worker starts outside the only lane that could save it.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does double duty here: the two-year ceiling runs from the date of termination of the agreement, so the agreement's own life span sets the covenant clock, and the healthcare practitioner regime keys to whether the contract was entered into on or after July 1, 2023. Verify the date is stated and unambiguous.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and any license with more care than usual, because occupation and classification select the governing rule: a long list of licensed healthcare roles gets the voidable-restriction protection, an independent contractor falls outside the employee exception entirely, and a narrow captive-insurance-agent lane is the only contractor exception the chapter offers. The stated title is the first signal that one of those special lanes applies.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 and treat a clause selecting another state's law for a South Dakota worker as a flag rather than a fix. Courts here honor choice-of-law clauses only up to the point they contravene South Dakota public policy, and the chapter 53-9 baseline is exactly that kind of policy.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Confirm the definition covers genuinely protectable information and nothing more. South Dakota enforces confidentiality covenants only to the extent reasonably necessary to protect the employer's interest in confidential information, and a definition broad enough to function as a work ban gets measured against the statute that voids restraints on a lawful profession.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The state trade-secret act carries its own remedies — including fee-shifting in specified disputes — that operate independently of any covenant, so a clean definition preserves the protection most likely to survive even when the covenant does not. </w:t>
      </w:r>
    </w:p>
    <w:p>
      <w:pPr>
        <w:keepNext/>
        <w:spacing w:before="200" w:after="80"/>
      </w:pPr>
      <w:r>
        <w:rPr>
          <w:rFonts w:ascii="Segoe UI Symbol" w:hAnsi="Segoe UI Symbol"/>
        </w:rPr>
        <w:t xml:space="preserve">☐  </w:t>
      </w:r>
      <w:r>
        <w:rPr>
          <w:b/>
        </w:rPr>
        <w:t xml:space="preserve">2.3  </w:t>
      </w:r>
      <w:r>
        <w:rPr>
          <w:b/>
        </w:rPr>
        <w:t xml:space="preserve">Restricted period capped at two years</w:t>
      </w:r>
      <w:r>
        <w:t xml:space="preserve"> — Prohibited (MUST NOT)</w:t>
      </w:r>
    </w:p>
    <w:p>
      <w:pPr>
        <w:spacing w:before="0" w:after="120"/>
        <w:ind w:left="540"/>
      </w:pPr>
      <w:r>
        <w:t xml:space="preserve">Find every duration in the agreement and test it against the statutory ceiling: a non-compete or existing-customer non-solicit may run at most two years, measured from the date of termination of the agreement. Note which event starts the clock — the agreement's termination, not the employment relationship's — and keep a single defined Restricted Period so the cap stays auditable across the covenant suite. </w:t>
      </w:r>
    </w:p>
    <w:p>
      <w:pPr>
        <w:keepNext/>
        <w:spacing w:before="200" w:after="80"/>
      </w:pPr>
      <w:r>
        <w:rPr>
          <w:rFonts w:ascii="Segoe UI Symbol" w:hAnsi="Segoe UI Symbol"/>
        </w:rPr>
        <w:t xml:space="preserve">☐  </w:t>
      </w:r>
      <w:r>
        <w:rPr>
          <w:b/>
        </w:rPr>
        <w:t xml:space="preserve">2.4  </w:t>
      </w:r>
      <w:r>
        <w:rPr>
          <w:b/>
        </w:rPr>
        <w:t xml:space="preserve">Territory uses the statutory area</w:t>
      </w:r>
      <w:r>
        <w:t xml:space="preserve"> — Required (MUST)</w:t>
      </w:r>
    </w:p>
    <w:p>
      <w:pPr>
        <w:spacing w:before="0" w:after="120"/>
        <w:ind w:left="540"/>
      </w:pPr>
      <w:r>
        <w:t xml:space="preserve">The territory must be a specified county, first- or second-class municipality, or other specified area where the employer continues to carry on a like business. The statute supplies that vocabulary itself, the exception is construed narrowly, and the like-business condition keeps operating after signing — the restraint holds only while the employer actually carries on the like business in the specified area. </w:t>
      </w:r>
    </w:p>
    <w:p>
      <w:pPr>
        <w:keepNext/>
        <w:spacing w:before="200" w:after="80"/>
      </w:pPr>
      <w:r>
        <w:rPr>
          <w:rFonts w:ascii="Segoe UI Symbol" w:hAnsi="Segoe UI Symbol"/>
        </w:rPr>
        <w:t xml:space="preserve">☐  </w:t>
      </w:r>
      <w:r>
        <w:rPr>
          <w:b/>
        </w:rPr>
        <w:t xml:space="preserve">2.5  </w:t>
      </w:r>
      <w:r>
        <w:rPr>
          <w:b/>
        </w:rPr>
        <w:t xml:space="preserve">Covered customers limited to existing customers</w:t>
      </w:r>
      <w:r>
        <w:t xml:space="preserve"> — Required (MUST)</w:t>
      </w:r>
    </w:p>
    <w:p>
      <w:pPr>
        <w:spacing w:before="0" w:after="120"/>
        <w:ind w:left="540"/>
      </w:pPr>
      <w:r>
        <w:t xml:space="preserve">The statute permits an agreement not to solicit existing customers of the employer — that is the entire grant. A defined customer class reaching prospects, long-departed accounts, or a whole market widens the clause past the exception's text, and the definition should describe people the worker may not pursue, not people the worker may never serve, because an agreement not to solicit is not an agreement not to sell.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anti-poaching class to colleagues the departing worker actually worked with during a stated look-back window. No staged South Dakota authority blesses a worker's own no-recruit promise, so the conservative reading treats it like every other restraint here: drafted narrowly, with nothing left for a court to read against the employer.</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Recite the interests, but do not expect them to substitute for statutory fit. South Dakota does not start from a free-floating reasonableness test — the covenant lives or dies on whether it sits inside a chapter 53-9 exception, read narrowly — so the recital frames the clause without rescuing it.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The exception permits restraining the same business or profession as that of the employer, so the definition should describe what the employer concretely does. A definition reaching adjacent fields the employer never carried on stretches past the statutory text — and outside the exception there is only the void zone.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holding ordinary public shares restrains more than any exception describes, and the baseline statute voids a contract to the extent of the excess restraint.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many agreements inline the carve-out language without a capitalized term. If the defined term appears, check that its percentage matches the operative carve-out it serves.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Define soliciting as affirmative outreach and stop there. The solicitation-versus-acceptance line is decisive in South Dakota: no statutory exception allows an agreement not to accept unsolicited business, so a definition that quietly captures passive acceptance converts a permitted clause into a void one.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Pin down the event that ends the relationship and how it relates to the agreement's own termination, because the statutory two-year clock runs from the date of termination of the agreement. If the contract has a fixed term, an undefined gap between the job ending and the agreement ending makes the one date the statute cares about contestable.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The statute permits the covenant at the time of employment or at any time during employment, and older authority treats continued employment as sufficient consideration for a mid-employment signature. Record the timing anyway — the same authority requires a further reasonableness inquiry when the employee is later fired through no fault of their own, so the execution facts feed directly into enforcement posture.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South Dakota statute requires it, but it is inexpensive evidence of a knowing signature in a regime where the discharge facts and the worker's posture at signing can change how hard a court looks at the covenant.</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last as long as secrecy does — federal law keys the right to continued secrecy. In a state whose statute confines covenants this tightly, the trade-secret framework is the workhorse protection, so a fixed expiry on trade-secret obligations gives away the most dependable remedy for no benefit.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and keep the obligation tethered to genuinely confidential material. South Dakota enforces these covenants only to the extent reasonably necessary to protect the employer's interest in confidential information — an everything-forever lid invites a court to read the clause as a disguised work ban.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South Dakota: omit the immunity notice and the employer forfeits exemplary damages and attorney fees in a later trade-secret action against the worker. Where the covenant itself is this constrained, weakening the trade-secret remedy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whatever state law governs the covenant,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Confidentiality obligations cannot block legally compelled disclosure, and the express carve-out keeps the clause from overpromising.</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Where the realistic protections are trade-secret and confidentiality claims rather than the covenant itself, the certification is the contemporaneous evidence those claims lean on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least-mapped covenant in the suite here: the staged South Dakota authority addresses no-hire promises between businesses, not a worker's own promise not to recruit former colleagues. What is settled is that the employer cannot achieve the same restraint through a side agreement with a customer or vendor — that pattern has its own gate at the end of this checklist.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Despite the softer name, this clause travels inside the same statutory lane as the non-compete: existing customers only, a specified area, a like business carried on there, and two years from termination of the agreement. Review it with exactly the rigor the non-compete gets, plus the solicitation-only limit.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A bar on doing business with covered customers even when they call first is precisely the no-acceptance shape no statutory exception allows. Treat its inclusion as a deliberate risk decision, not boilerplate — the solicitation-not-acceptance gate at the end of this checklist applies to it in full.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Void by default to the extent it restrains a lawful profession, trade, or business, and saved only by an exception the courts read narrowly. If the clause appears at all, run it straight through the South Dakota statutory gates at the end of this checklist — exception fit, customer-restriction shape, practitioner status, worker classification — before evaluating anything else about it.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an open-ended Competitive Business definition. In a narrow-construction regime every concrete boundary the drafter sets is one less ambiguity a court will resolve against enforcement.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and watch for investment language broad enough to operate as a restraint on the worker's own trade, which is the conduct the baseline statute voids. </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Fine to include with a stated duration; the audit is in the carve-outs. Truthful testimony, statements to government agencies, and protected workplace speech must sit outside the clause — the Board treats overbroad non-disparagement as unlawful no matter which state's law governs the covenant.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the South Dakota rule accurately — and the rule reaches far beyond physicians. For contracts entered into on or after July 1, 2023, a provision restricting any listed practitioner from practicing after the relationship ends is voidable, with the practitioner definition covering physicians, physician assistants, emergency medical personnel, and many other licensed clinical roles. Use the statutory word voidable rather than void, and keep a practice restriction separate from a current-patient non-solicit that complies with the geographic and temporal limits, because the statute treats those differently; the full mechanics live in the South Dakota statutory gates at the end of this checklist.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On intake the same analysis runs in reverse: a covenant the worker signed elsewhere may be void as applied here — wrong duration, wrong territory shape, or a no-acceptance customer clause — and the representation surfaces that question before the first customer call instead of after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the usual tortious-interference sensitivity sharpened here: warning a new employer off the worker based on a covenant the statute voids asserts rights the employer never had. If the clause appears, condition any notice on a covenant that actually fits a chapter 53-9 exception.</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extension mechanism as untested here. No South Dakota statute addresses tolling, the two-year ceiling is written into the exception itself and runs from the date of termination of the agreement, and the cases construe the exceptions narrowly rather than generously. A clause that quietly carries the restraint past two years is asking a court to enlarge an exception, which is the one thing the cases consistently refuse to do.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Keep the irreparable-harm acknowledgement — and remember the most durable enforcement tools in South Dakota are the trade-secret remedies, which carry their own fee-shifting and operate whether or not the covenant survives. The acknowledgement supports the covenant claim; the statute carries the backup.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 the default American Rule applies if the agreement is silent, while the trade-secret act supplies its own fee-shifting for bad-faith and willful misappropriation disputes and a three-year limitations clock for the claim itself. If contractual fee-shifting appears, check that it is mutual and prevailing-party based.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narrowing</w:t>
      </w:r>
      <w:r>
        <w:t xml:space="preserve"> — Avoid (SHOULD NOT)</w:t>
      </w:r>
    </w:p>
    <w:p>
      <w:pPr>
        <w:spacing w:before="0" w:after="120"/>
        <w:ind w:left="540"/>
      </w:pPr>
      <w:r>
        <w:t xml:space="preserve">South Dakota courts will sometimes save an overbroad covenant — one decision declined to invalidate an entire overbroad provision — but the repair only conforms the covenant to what the statute already allows, and a court will not read in an exception the Legislature did not adopt. The structural protection worth confirming is divisibility: the baseline statute voids a contract only to the extent it restrains trade, so separable nondisclosure promises can survive a failed non-compete. Read the severability clause as triage, and expect each element to comply as written.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Covenants expressly survive the agreement</w:t>
      </w:r>
      <w:r>
        <w:t xml:space="preserve"> — Recommended (SHOULD)</w:t>
      </w:r>
    </w:p>
    <w:p>
      <w:pPr>
        <w:spacing w:before="0" w:after="120"/>
        <w:ind w:left="540"/>
      </w:pPr>
      <w:r>
        <w:t xml:space="preserve">If the agreement has a fixed term, confirm the restrictive covenants expressly survive its termination, covenant by covenant. A federal appeals court applying South Dakota law held that once the parties performed a fixed-term agreement to its end, the agreement terminated on its stated date and the covenants terminated with it — and because the statutory two-year clock runs from the date of termination of the agreement, the agreement term, termination language, and survival clause have to be aligned before any duration math matters. </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Whoever ends up holding the covenant inherits it exactly as the statute limits it — the specified area, the like-business condition, the two-year ceiling — and a successor that stops carrying on the like business in the restricted area loses the condition the exception depends on.</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South Dakota law expected to apply</w:t>
      </w:r>
      <w:r>
        <w:t xml:space="preserve"> — Avoid (SHOULD NOT)</w:t>
      </w:r>
    </w:p>
    <w:p>
      <w:pPr>
        <w:spacing w:before="0" w:after="120"/>
        <w:ind w:left="540"/>
      </w:pPr>
      <w:r>
        <w:t xml:space="preserve">Do not let another state's choice-of-law clause stand in for compliance: courts honor those clauses only until they contravene South Dakota public policy, and a covenant that chapter 53-9 would void has been tested under South Dakota law despite the contract's selection of a different state. The clause should still state governing law, venue, and process — but for a South Dakota worker, territory, or customer base, plan on the chapter 53-9 analysis applying whatever the template names.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South Dakota wrinkle worth checking: amendment and termination mechanics should preserve the agreement's date discipline, because the statutory clock runs from the date the agreement terminates and the practitioner regime keys to when the contract was entered into. A casual restatement can silently move both dates.</w:t>
      </w:r>
    </w:p>
    <w:p>
      <w:pPr>
        <w:keepNext/>
        <w:spacing w:before="360" w:after="160"/>
      </w:pPr>
      <w:r>
        <w:rPr>
          <w:b/>
          <w:sz w:val="28"/>
          <w:szCs w:val="28"/>
        </w:rPr>
        <w:t xml:space="preserve">19. South Dakota statutory gates (SDCL ch. 53-9)</w:t>
      </w:r>
    </w:p>
    <w:p>
      <w:pPr>
        <w:spacing w:before="0" w:after="120"/>
      </w:pPr>
      <w:r>
        <w:t xml:space="preserve">The six items below exist only on this South Dakota page: they implement the chapter's void-unless-excepted structure, the solicitation-only customer rule, the healthcare practitioner provision, the contractor classification gate, the third-party no-hire rule, and the sale-of-goodwill track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Covenant fits a statutory exception</w:t>
      </w:r>
      <w:r>
        <w:t xml:space="preserve"> — Required (MUST)</w:t>
      </w:r>
    </w:p>
    <w:p>
      <w:pPr>
        <w:spacing w:before="0" w:after="120"/>
        <w:ind w:left="540"/>
      </w:pPr>
      <w:r>
        <w:t xml:space="preserve">Start here whenever a non-compete or customer non-solicit appears: the baseline statute voids any restraint on a lawful profession, trade, or business to that extent, and only the exceptions written into chapter 53-9 save a covenant. Identify the exception the clause relies on — the employee lane with its two-year, specified-area, existing-customer, and like-business limits, the sale of goodwill, or another listed track — and hold the drafting to its exact text, because the exceptions are construed narrowly and a missed element means the void baseline, not a closer look at reasonableness. </w:t>
      </w:r>
    </w:p>
    <w:p>
      <w:pPr>
        <w:keepNext/>
        <w:spacing w:before="200" w:after="80"/>
      </w:pPr>
      <w:r>
        <w:rPr>
          <w:rFonts w:ascii="Segoe UI Symbol" w:hAnsi="Segoe UI Symbol"/>
        </w:rPr>
        <w:t xml:space="preserve">☐  </w:t>
      </w:r>
      <w:r>
        <w:rPr>
          <w:b/>
        </w:rPr>
        <w:t xml:space="preserve">19.2  </w:t>
      </w:r>
      <w:r>
        <w:rPr>
          <w:b/>
        </w:rPr>
        <w:t xml:space="preserve">Solicitation restricted, acceptance left alone</w:t>
      </w:r>
      <w:r>
        <w:t xml:space="preserve"> — Prohibited (MUST NOT)</w:t>
      </w:r>
    </w:p>
    <w:p>
      <w:pPr>
        <w:spacing w:before="0" w:after="120"/>
        <w:ind w:left="540"/>
      </w:pPr>
      <w:r>
        <w:t xml:space="preserve">Scan every customer clause for no-service, no-sale, and no-acceptance language: none of the enumerated statutory exceptions allow an agreement not to accept unsolicited business, and an agreement not to solicit is not an agreement not to sell to customers who seek the worker out on their own. The safe clause targets affirmative solicitation of existing customers in the specified area and leaves unsolicited customer choice alone. </w:t>
      </w:r>
    </w:p>
    <w:p>
      <w:pPr>
        <w:keepNext/>
        <w:spacing w:before="200" w:after="80"/>
      </w:pPr>
      <w:r>
        <w:rPr>
          <w:rFonts w:ascii="Segoe UI Symbol" w:hAnsi="Segoe UI Symbol"/>
        </w:rPr>
        <w:t xml:space="preserve">☐  </w:t>
      </w:r>
      <w:r>
        <w:rPr>
          <w:b/>
        </w:rPr>
        <w:t xml:space="preserve">19.3  </w:t>
      </w:r>
      <w:r>
        <w:rPr>
          <w:b/>
        </w:rPr>
        <w:t xml:space="preserve">Healthcare practitioner restrictions are voidable</w:t>
      </w:r>
      <w:r>
        <w:t xml:space="preserve"> — Avoid (SHOULD NOT)</w:t>
      </w:r>
    </w:p>
    <w:p>
      <w:pPr>
        <w:spacing w:before="0" w:after="120"/>
        <w:ind w:left="540"/>
      </w:pPr>
      <w:r>
        <w:t xml:space="preserve">For contracts entered into on or after July 1, 2023, a provision restricting a covered practitioner from practicing or providing professional services after the relationship ends is voidable at the practitioner's election — it stands unless avoided, which is why the statutory word is voidable rather than void, and why relying on it is a planning error even though including it is not unlawful. Check the worker's license against the broad practitioner list, then check for the two surviving shapes: a provision effective on the sale of a practice, and a current-patient non-solicit that complies with the geographic and temporal limits. </w:t>
      </w:r>
    </w:p>
    <w:p>
      <w:pPr>
        <w:keepNext/>
        <w:spacing w:before="200" w:after="80"/>
      </w:pPr>
      <w:r>
        <w:rPr>
          <w:rFonts w:ascii="Segoe UI Symbol" w:hAnsi="Segoe UI Symbol"/>
        </w:rPr>
        <w:t xml:space="preserve">☐  </w:t>
      </w:r>
      <w:r>
        <w:rPr>
          <w:b/>
        </w:rPr>
        <w:t xml:space="preserve">19.4  </w:t>
      </w:r>
      <w:r>
        <w:rPr>
          <w:b/>
        </w:rPr>
        <w:t xml:space="preserve">Contractors fall outside the employee exception</w:t>
      </w:r>
      <w:r>
        <w:t xml:space="preserve"> — Prohibited (MUST NOT)</w:t>
      </w:r>
    </w:p>
    <w:p>
      <w:pPr>
        <w:spacing w:before="0" w:after="120"/>
        <w:ind w:left="540"/>
      </w:pPr>
      <w:r>
        <w:t xml:space="preserve">If the agreement labels the worker an independent contractor, the employee exception is off the table — the statute's plain language is limited to an employee's covenant with an employer, and the contract's own disclaimer of employment has been held to control. The only contractor lane in the chapter covers captive insurance agents working exclusively for a single insurer or affiliated group; a worker who fits neither category has no exception to stand in, which leaves the void baseline. Do not assume reclassification preserves the covenant. </w:t>
      </w:r>
    </w:p>
    <w:p>
      <w:pPr>
        <w:keepNext/>
        <w:spacing w:before="200" w:after="80"/>
      </w:pPr>
      <w:r>
        <w:rPr>
          <w:rFonts w:ascii="Segoe UI Symbol" w:hAnsi="Segoe UI Symbol"/>
        </w:rPr>
        <w:t xml:space="preserve">☐  </w:t>
      </w:r>
      <w:r>
        <w:rPr>
          <w:b/>
        </w:rPr>
        <w:t xml:space="preserve">19.5  </w:t>
      </w:r>
      <w:r>
        <w:rPr>
          <w:b/>
        </w:rPr>
        <w:t xml:space="preserve">No restraint through a third-party contract</w:t>
      </w:r>
      <w:r>
        <w:t xml:space="preserve"> — Prohibited (MUST NOT)</w:t>
      </w:r>
    </w:p>
    <w:p>
      <w:pPr>
        <w:spacing w:before="0" w:after="120"/>
        <w:ind w:left="540"/>
      </w:pPr>
      <w:r>
        <w:t xml:space="preserve">Check whether the employer is leaning on a no-hire, no-solicit, or no-recruit clause in a customer, vendor, or services contract to keep the worker in place. South Dakota treats that clause as a variation on the covenant not to compete and holds that an employer may not bind its own employee through an agreement with a third party — if the worker signed no valid covenant of their own, the third-party clause will not supply one. </w:t>
      </w:r>
    </w:p>
    <w:p>
      <w:pPr>
        <w:keepNext/>
        <w:spacing w:before="200" w:after="80"/>
      </w:pPr>
      <w:r>
        <w:rPr>
          <w:rFonts w:ascii="Segoe UI Symbol" w:hAnsi="Segoe UI Symbol"/>
        </w:rPr>
        <w:t xml:space="preserve">☐  </w:t>
      </w:r>
      <w:r>
        <w:rPr>
          <w:b/>
        </w:rPr>
        <w:t xml:space="preserve">19.6  </w:t>
      </w:r>
      <w:r>
        <w:rPr>
          <w:b/>
        </w:rPr>
        <w:t xml:space="preserve">Sale-of-goodwill covenant limits</w:t>
      </w:r>
      <w:r>
        <w:t xml:space="preserve"> — Required (MUST)</w:t>
      </w:r>
    </w:p>
    <w:p>
      <w:pPr>
        <w:spacing w:before="0" w:after="120"/>
        <w:ind w:left="540"/>
      </w:pPr>
      <w:r>
        <w:t xml:space="preserve">The goodwill-sale covenant runs on its own track: the seller refrains from carrying on a similar business within a specified county, city, or other specified area, and only while the buyer or a successor to the goodwill carries on a like business there. Even inside the exception, language reaching isolated, insubstantial, or non-detrimental activity is void as against public policy — tie the restraint to the purchased goodwill, not to every role the seller might ever take. The partnership-dissolution sibling is tighter still, reaching only the same municipality where the partnership did business. </w:t>
      </w:r>
    </w:p>
    <w:p>
      <w:pPr>
        <w:spacing w:before="360" w:after="0"/>
      </w:pPr>
      <w:r>
        <w:rPr>
          <w:color w:val="666666"/>
          <w:sz w:val="16"/>
          <w:szCs w:val="16"/>
        </w:rPr>
        <w:t xml:space="preserve">Steven Obiajulu, J.D. edits this review checklist for South Dakota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