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Vermont</w:t>
      </w:r>
    </w:p>
    <w:p>
      <w:pPr>
        <w:spacing w:before="0" w:after="120"/>
      </w:pPr>
      <w:r>
        <w:rPr>
          <w:i/>
          <w:color w:val="444444"/>
        </w:rPr>
        <w:t xml:space="preserve">A clause-by-clause reviewer checklist for Vermont employee restrictive covenant agreements — confidentiality, non-solicits, non-competes, and non-disparagement under the Andrus reasonableness test and its Restatement (Second) of Contracts § 188 framing, with Vermont's profession-specific covenant bars.</w:t>
      </w:r>
    </w:p>
    <w:p>
      <w:pPr>
        <w:spacing w:before="0" w:after="240"/>
      </w:pPr>
      <w:r>
        <w:rPr>
          <w:color w:val="666666"/>
          <w:sz w:val="18"/>
          <w:szCs w:val="18"/>
        </w:rPr>
        <w:t xml:space="preserve">By Steven Obiajulu, J.D. Last reviewed 2026-06-12. License: CC BY 4.0. https://openagreements.org/legal/non-compete/vermont-review-checklist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Vermont court would: there is no general non-compete statute in force, so each covenant lives or dies on a common-law reasonableness test the employer has the burden of satisfying — and the legislature is actively advancing bills that would supersede that framework if enacted. For the question-by-question legal analysis behind these items, see the </w:t>
      </w:r>
      <w:r>
        <w:t xml:space="preserve">Vermont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Who the parties are sets the review track: a covenant between an employer and a departing employee gets the cautious employment-side scrutiny, while a covenant between a buyer and the seller of a business earns more deference. Vermont treats a non-compete in a business sale as its own bargained-for term, so confirm which relationship the signing entities actually create before reaching anything else.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Every covenant clock needs a defined start, and date discipline carries extra weight while the General Assembly is actively considering non-compete legislation: if a pending bill becomes law, the execution date is what will place an agreement on one side or the other of any new regime. An undated covenant leaves that question open at the worst possible time.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The role decides whether a categorical bar applies before reasonableness ever comes up: a restriction on a lawyer's right to practice after the relationship ends is barred by the professional-conduct rules, and a barbering or cosmetology school cannot require a covenant as a condition of training for licensure. Outside those classes, the title frames which interests the worker could plausibly threaten.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Restrictive-covenant law varies sharply across jurisdictions, and the governing-law selection decides which body of doctrine the rest of this checklist runs against.</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Keep the definition tied to genuinely confidential material. Vermont applies its reasonableness scrutiny to restrictive covenants generally, so a confidentiality definition broad enough to operate as a practical work ban inherits the same public-policy, employer-necessity, and employee-rights review as a non-compete.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A separate trade-secret definition keeps the agreement aligned with the statutory fallback: Vermont's trade secrets act lets a court enjoin actual or threatened misappropriation whether or not any covenant survives, so material that genuinely qualifies should be defined on its own track rather than blended into ordinary confidential information.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Vermont has no fixed cap — a five-year restraint passed where it matched the employer's single-county market and ended cleanly — so the period needs a factual story connecting its length to the interest it protects, not a number copied from a form.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Pin the geography to where the worker actually operated. The Vermont Supreme Court reversed enforcement of a covenant where the trial court never determined what place the agreement covered — a territory the contract itself leaves vague invites exactly that failure.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Customer relationships are a protectable interest in Vermont in their own right — broader than trade-secret law — but the definition still has to bound the class to relationships the worker actually held during a stated look-back window, or the restraint outruns the interest that justifies it.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dealt with during the look-back window. A class that sweeps in the whole workforce reads as a restraint on the labor market rather than protection of anything the employer owns, and it loads the hardship side of the reasonableness balance.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concretely, because the employer will have to prove them: the burden of establishing the reasonable necessity of the covenant sits with the employer, and Vermont accepts customer relationships and employee-specific goodwill alongside trade secrets and confidential information. A recital that protects nothing identifiable is a naked restraint waiting to be found one.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tied to what the employer actually does. Vermont measures a restraint against the Restatement test — unreasonable if greater than needed to protect the legitimate interest, or if the need is outweighed by hardship and public injury — and an open-ended definition forces that analysis to assume the widest reading.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restrains the worker far past any interest the employer can prove, and it hands the other side an easy overbreadth argument.</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 many agreements inline the threshold language instead of defining a capitalized term. If the term appears, check that its percentage agrees with the operative carve-out it serves.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and check whether passively receiving an inquiry counts as a breach. The looser the definition, the heavier the restraint weighs on the employee's side of the reasonableness balance — and the harder it is to defend as protection rather than punishment.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This trigger starts the restricted-period clock, and in Vermont the clock is unforgiving: the covenant's term is a matter of contract, and a court will not move the start date or stretch the term once it has run. The definition cannot be ambiguous about which event happened and when.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Timing recorded; continued employment is enough consideration</w:t>
      </w:r>
      <w:r>
        <w:t xml:space="preserve"> — Recommended (SHOULD)</w:t>
      </w:r>
    </w:p>
    <w:p>
      <w:pPr>
        <w:spacing w:before="0" w:after="120"/>
        <w:ind w:left="540"/>
      </w:pPr>
      <w:r>
        <w:t xml:space="preserve">Vermont does not demand a raise, bonus, or promotion for a covenant signed mid-employment: continued employment alone is sufficient consideration for a covenant entered during an at-will relationship. So read the timing recital for what it still does — it documents when the covenant was signed and what changed — and remember that consideration solves nothing else: overbreadth in scope, geography, or duration survives intact, and the employer keeps the burden of proving the covenant's reasonable necessity.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Vermont statute demands it, but the reasonableness balance weighs how harshly the restraint lands on the worker — and a documented opportunity to take the agreement to counsel before signing is cheap evidence the process was fair rather than coercive.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Federal law keys protection to continued secrecy, and Vermont's trade secrets act says the same thing from the remedy side: an injunction ends when the trade secret ceases to exist, not on a calendar date. A fixed expiry on trade-secret protection gives away the one interest in the agreement that lawfully lasts.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material operates as an indirect restraint on the worker's ability to use what they know, and under the Restatement framing a restraint greater than the interest needs is unreasonable on its face — the two-track structure keeps the perpetual obligation where the law actually supports it.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Vermont: omit the immunity notice and the employer forfeits exemplary damages and attorney fees in a later trade-secret suit against the worker. That forfeiture stings here, because statutory trade-secret remedies are the main fallback when a covenant fails the reasonableness test.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outranks a subpoena, and the carve-out keeps the worker from being squeezed between the contract and a legal duty.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The certification earns its keep in Vermont because the statutory fallback turns on actual or threatened misappropriation: a documented return process both shrinks the threat and gives the employer conduct-specific proof if relief is ever needed.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comparatively low-risk when scoped to colleagues the worker actually dealt with. One Vermont-specific wrinkle: if the agreement sits inside a franchise network, know that the Attorney General has joined multistate enforcement against franchisor no-poach provisions — hiring restraints between businesses get policed outside the common-law covenant framework entirely.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Generally the easier covenant to defend in Vermont, because customer relationships are themselves a protectable interest — but only when the clause tracks the relationships the worker actually serviced. A book-of-business clause untethered from real contact outruns the goodwill that justifies it.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heavier restraint than a non-solicit, and one that presses on both Restatement prongs: more restraint than the interest needs, and more hardship and public injury on the other side of the scale. Treat its inclusion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this clause appears, route the review through the Vermont gates at the end of this checklist: courts proceed with caution before enforcing covenants against competitive employment, and the employer will carry the burden at every step. Then check the legislature — H.205 and H.583 are pending bills that would substantially supersede the common-law framework if enacted, so confirm their status before relying on any template.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an open-ended definition. A named list is the cleanest evidence that the restraint is no greater than the protected interest needs — exactly the showing the employer must make.</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ban with no carve-out swells the hardship side of the balance for very little protective gain.</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 and for agreements with licensed healthcare professionals, note that pending H.583 would void nondisparagement agreements alongside non-competes if enacted.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Healthcare-professional rights and notices</w:t>
      </w:r>
      <w:r>
        <w:t xml:space="preserve"> — Recommended (SHOULD)</w:t>
      </w:r>
    </w:p>
    <w:p>
      <w:pPr>
        <w:spacing w:before="0" w:after="120"/>
        <w:ind w:left="540"/>
      </w:pPr>
      <w:r>
        <w:t xml:space="preserve">As of this checklist's review date, Vermont has no categorical healthcare non-compete ban in force: physician covenants run through the same reasonableness test as everyone else's, and the employer carries the same burden. The clause should say so plainly — and it should flag the tracking duty, because H.583 has passed the House and cleared a Senate amendment cycle; if enacted it would void noncompetition, nondisclosure, and nondisparagement agreements for licensed healthcare professionals, with a narrow exception for covenants ancillary to the sale of a 25%-or-greater equity interest.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On intake in Vermont, the representation is also where an incoming worker's prior covenant gets its first reasonableness look — better to run that analysis before a dispute than after.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tortious-interference sensitivity attached. Warning a new employer off a worker on the strength of a covenant that cannot survive Vermont's reasonableness review invites exactly the dispute the clause was meant to prevent — if the clause appears, condition any disclosure on a covenant the employer could actually defend.</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expressly whether the clock pauses during a breach, because in Vermont no one else will say it: the Supreme Court refused to extend a covenant whose term litigation delay had exhausted, holding that the term was a matter of contract and that courts construe contracts but will not make them — it would not even accept relabeling the extension as a postponed start date. No staged Vermont source tests an express tolling clause, so treat any extension mechanism as its own restraint that must earn its keep under the reasonableness test, never as boilerplate.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note the statutory backstop and its limit: Vermont's trade secrets act enjoins actual or threatened misappropriation regardless of how the covenant fares, but that standard demands conduct- or threat-specific proof. Do not read the acknowledgement as a substitute for evidence, and do not expect an injunction from the bare fact that the worker took a new job.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default American Rule applies if the agreement is silent. Check that any fee-shifting is mutual and prevailing-party based — a one-way employer clause adds hardship weight to the reasonableness balance without adding enforceability.</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Reasonable terms up front, not court rescue</w:t>
      </w:r>
      <w:r>
        <w:t xml:space="preserve"> — Avoid (SHOULD NOT)</w:t>
      </w:r>
    </w:p>
    <w:p>
      <w:pPr>
        <w:spacing w:before="0" w:after="120"/>
        <w:ind w:left="540"/>
      </w:pPr>
      <w:r>
        <w:t xml:space="preserve">Treat any covenant that leans on a savings clause as a red flag, because Vermont narrowing is genuinely unsettled. The conservative anchor: the Supreme Court will construe contracts but will not make them for the parties, and it refused to stretch a time term on that ground. The other direction is softer — dicta that modern courts can enforce covenants to the extent reasonable, and a federal prediction that Vermont would enforce a defective covenant to the limit of its validity — but dicta and prediction are not a drafting strategy. Verify each restraint is defensible as written, with severability as a backstop rather than the plan.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The audit matters because Vermont takes expiry literally: in the leading single-county case the restraint simply ended after five years, and no doctrine revives a covenant whose stated term has run. A bundled survival clause is exactly where a sloppy duration hides.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Vermont's transaction cases treat a covenant as a distinct, negotiated term rather than an automatic incident of a deal, so in any sale the covenant's transfer should be papered explicitly — and the successor inherits the reasonableness analysis, re-measured against the enforcing business's actual market.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Confirm the agreement specifies governing law, venue, and a dispute-resolution process. Restrictive-covenant disputes are jurisdiction-sensitive, and a clear selection binds that risk; the staged Vermont sources state no covenant-specific choice-of-law rule, so review the selection under ordinary conflicts principles.</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Vermont formation lesson behind it: a stock-sale agreement failed in part because the parties left material terms open, including whether the deal would carry a non-compete at all. The entire-agreement clause is where the reviewer confirms every covenant term is actually closed — duration, geography, consideration — rather than deferred to a side understanding. </w:t>
      </w:r>
    </w:p>
    <w:p>
      <w:pPr>
        <w:keepNext/>
        <w:spacing w:before="360" w:after="160"/>
      </w:pPr>
      <w:r>
        <w:rPr>
          <w:b/>
          <w:sz w:val="28"/>
          <w:szCs w:val="28"/>
        </w:rPr>
        <w:t xml:space="preserve">19. Vermont gates (the reasonableness test and the profession-specific bars)</w:t>
      </w:r>
    </w:p>
    <w:p>
      <w:pPr>
        <w:spacing w:before="0" w:after="120"/>
      </w:pPr>
      <w:r>
        <w:t xml:space="preserve">The four items below exist only on this Vermont page: the common-law reasonableness gate every covenant must pass, the two categorical profession bars, and the more deferential review a genuine sale-of-business covenant earns.</w:t>
      </w:r>
    </w:p>
    <w:p>
      <w:pPr>
        <w:keepNext/>
        <w:spacing w:before="200" w:after="80"/>
      </w:pPr>
      <w:r>
        <w:rPr>
          <w:rFonts w:ascii="Segoe UI Symbol" w:hAnsi="Segoe UI Symbol"/>
        </w:rPr>
        <w:t xml:space="preserve">☐  </w:t>
      </w:r>
      <w:r>
        <w:rPr>
          <w:b/>
        </w:rPr>
        <w:t xml:space="preserve">19.1  </w:t>
      </w:r>
      <w:r>
        <w:rPr>
          <w:b/>
        </w:rPr>
        <w:t xml:space="preserve">Reasonable restraint tied to a real interest</w:t>
      </w:r>
      <w:r>
        <w:t xml:space="preserve"> — Required (MUST)</w:t>
      </w:r>
    </w:p>
    <w:p>
      <w:pPr>
        <w:spacing w:before="0" w:after="120"/>
        <w:ind w:left="540"/>
      </w:pPr>
      <w:r>
        <w:t xml:space="preserve">Run every restraint through the questions a Vermont court will ask: is it consistent with public policy, necessary for the employer's protection, and no more restrictive of the worker than that protection requires? The Restatement framing makes the failure modes concrete — a restraint greater than the interest needs, or an employer need outweighed by hardship and public injury, is unreasonable. The interest can be customer relationships or employee-specific goodwill, not only trade secrets, but the employer has to prove its necessity, and the time and place have to be found as facts: enforcement has been reversed where no one established what place the covenant even covered. </w:t>
      </w:r>
    </w:p>
    <w:p>
      <w:pPr>
        <w:keepNext/>
        <w:spacing w:before="200" w:after="80"/>
      </w:pPr>
      <w:r>
        <w:rPr>
          <w:rFonts w:ascii="Segoe UI Symbol" w:hAnsi="Segoe UI Symbol"/>
        </w:rPr>
        <w:t xml:space="preserve">☐  </w:t>
      </w:r>
      <w:r>
        <w:rPr>
          <w:b/>
        </w:rPr>
        <w:t xml:space="preserve">19.2  </w:t>
      </w:r>
      <w:r>
        <w:rPr>
          <w:b/>
        </w:rPr>
        <w:t xml:space="preserve">No covenants as a condition of barbering or cosmetology training</w:t>
      </w:r>
      <w:r>
        <w:t xml:space="preserve"> — Prohibited (MUST NOT)</w:t>
      </w:r>
    </w:p>
    <w:p>
      <w:pPr>
        <w:spacing w:before="0" w:after="120"/>
        <w:ind w:left="540"/>
      </w:pPr>
      <w:r>
        <w:t xml:space="preserve">If the worker is training for a barbering or cosmetology license, check who demanded the covenant: a school of barbering or cosmetology cannot require a covenant not to compete — with the school or an affiliate — as a condition of training for licensure. It is Vermont's only generally applicable statute voiding a category of restrictive covenant outright, and it turns on the training relationship, not the document's label. </w:t>
      </w:r>
    </w:p>
    <w:p>
      <w:pPr>
        <w:keepNext/>
        <w:spacing w:before="200" w:after="80"/>
      </w:pPr>
      <w:r>
        <w:rPr>
          <w:rFonts w:ascii="Segoe UI Symbol" w:hAnsi="Segoe UI Symbol"/>
        </w:rPr>
        <w:t xml:space="preserve">☐  </w:t>
      </w:r>
      <w:r>
        <w:rPr>
          <w:b/>
        </w:rPr>
        <w:t xml:space="preserve">19.3  </w:t>
      </w:r>
      <w:r>
        <w:rPr>
          <w:b/>
        </w:rPr>
        <w:t xml:space="preserve">No practice restrictions for lawyers</w:t>
      </w:r>
      <w:r>
        <w:t xml:space="preserve"> — Prohibited (MUST NOT)</w:t>
      </w:r>
    </w:p>
    <w:p>
      <w:pPr>
        <w:spacing w:before="0" w:after="120"/>
        <w:ind w:left="540"/>
      </w:pPr>
      <w:r>
        <w:t xml:space="preserve">If the worker is a lawyer, the professional-conduct rules displace the reasonableness analysis: partnership, shareholder, operating, and employment agreements cannot restrict the right to practice after the relationship ends, except for agreements concerning retirement benefits — and a settlement of a client controversy cannot carry a practice restriction either. Audit the substance, not the heading; a covenant that operates as a practice restriction sits inside the bar whatever it is called. </w:t>
      </w:r>
    </w:p>
    <w:p>
      <w:pPr>
        <w:keepNext/>
        <w:spacing w:before="200" w:after="80"/>
      </w:pPr>
      <w:r>
        <w:rPr>
          <w:rFonts w:ascii="Segoe UI Symbol" w:hAnsi="Segoe UI Symbol"/>
        </w:rPr>
        <w:t xml:space="preserve">☐  </w:t>
      </w:r>
      <w:r>
        <w:rPr>
          <w:b/>
        </w:rPr>
        <w:t xml:space="preserve">19.4  </w:t>
      </w:r>
      <w:r>
        <w:rPr>
          <w:b/>
        </w:rPr>
        <w:t xml:space="preserve">Sale-of-business covenants sized to the deal</w:t>
      </w:r>
      <w:r>
        <w:t xml:space="preserve"> — Recommended (SHOULD)</w:t>
      </w:r>
    </w:p>
    <w:p>
      <w:pPr>
        <w:spacing w:before="0" w:after="120"/>
        <w:ind w:left="540"/>
      </w:pPr>
      <w:r>
        <w:t xml:space="preserve">When the covenant rides a business sale, review it against the deal rather than the employment default: Vermont enforced a five-year, twenty-five-mile covenant delivered at closing where money was separately allocated to the covenant itself and the restrictions were reasonable as to time and place, and it treats a sale covenant with dedicated consideration as a bargained-for transaction asset in its own right. Confirm the covenant has its own consideration, matches the geography and life of the purchased goodwill, and is closed as an explicit deal term — leaving it open has helped sink an entire transaction. </w:t>
      </w:r>
    </w:p>
    <w:p>
      <w:pPr>
        <w:spacing w:before="360" w:after="0"/>
      </w:pPr>
      <w:r>
        <w:rPr>
          <w:color w:val="666666"/>
          <w:sz w:val="16"/>
          <w:szCs w:val="16"/>
        </w:rPr>
        <w:t xml:space="preserve">Steven Obiajulu, J.D. edits this review checklist for Vermont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