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0" w:after="120"/>
      </w:pPr>
      <w:r>
        <w:rPr>
          <w:b/>
          <w:sz w:val="48"/>
          <w:szCs w:val="48"/>
        </w:rPr>
        <w:t xml:space="preserve">Non-Compete Agreement Review Checklist — Wyoming</w:t>
      </w:r>
    </w:p>
    <w:p>
      <w:pPr>
        <w:spacing w:before="0" w:after="120"/>
      </w:pPr>
      <w:r>
        <w:rPr>
          <w:i/>
          <w:color w:val="444444"/>
        </w:rPr>
        <w:t xml:space="preserve">A clause-by-clause reviewer checklist for Wyoming employee restrictive covenant agreements — confidentiality, non-solicits, non-competes, and non-disparagement under Wyo. Stat. § 1-23-108 and Wyoming case law.</w:t>
      </w:r>
    </w:p>
    <w:p>
      <w:pPr>
        <w:spacing w:before="0" w:after="240"/>
      </w:pPr>
      <w:r>
        <w:rPr>
          <w:color w:val="666666"/>
          <w:sz w:val="18"/>
          <w:szCs w:val="18"/>
        </w:rPr>
        <w:t xml:space="preserve">By Steven Obiajulu, J.D. Last reviewed 2026-06-11. License: CC BY 4.0. https://openagreements.org/legal/non-compete/wyoming-review-checklist</w:t>
      </w:r>
    </w:p>
    <w:p>
      <w:pPr>
        <w:keepNext/>
        <w:spacing w:before="360" w:after="160"/>
      </w:pPr>
      <w:r>
        <w:rPr>
          <w:b/>
          <w:sz w:val="28"/>
          <w:szCs w:val="28"/>
        </w:rPr>
        <w:t xml:space="preserve">1. Parties and cover-term identification</w:t>
      </w:r>
    </w:p>
    <w:p>
      <w:pPr>
        <w:spacing w:before="0" w:after="120"/>
      </w:pPr>
      <w:r>
        <w:t xml:space="preserve">Every item below reads the agreement the way a Wyoming court would — against a 2025 statute that voids most labor non-competes and case law that refuses to repair overbroad drafting. For the question-by-question legal analysis behind these items, see the </w:t>
      </w:r>
      <w:r>
        <w:t xml:space="preserve">Wyoming non-compete practice note</w:t>
      </w:r>
      <w:r>
        <w:t xml:space="preserve">.</w:t>
      </w:r>
    </w:p>
    <w:p>
      <w:pPr>
        <w:keepNext/>
        <w:spacing w:before="200" w:after="80"/>
      </w:pPr>
      <w:r>
        <w:rPr>
          <w:rFonts w:ascii="Segoe UI Symbol" w:hAnsi="Segoe UI Symbol"/>
        </w:rPr>
        <w:t xml:space="preserve">☐  </w:t>
      </w:r>
      <w:r>
        <w:rPr>
          <w:b/>
        </w:rPr>
        <w:t xml:space="preserve">1.1  </w:t>
      </w:r>
      <w:r>
        <w:rPr>
          <w:b/>
        </w:rPr>
        <w:t xml:space="preserve">Parties identified by name</w:t>
      </w:r>
      <w:r>
        <w:t xml:space="preserve"> — Recommended (SHOULD)</w:t>
      </w:r>
    </w:p>
    <w:p>
      <w:pPr>
        <w:spacing w:before="0" w:after="120"/>
        <w:ind w:left="540"/>
      </w:pPr>
      <w:r>
        <w:t xml:space="preserve">Confirm the employer entity named in the cover terms is the one that actually employs the worker. Wyoming's statutory exceptions attach to specific relationships — a sale-of-business covenant binds the seller, an executive covenant binds the executive's employer — so a mismatched entity muddies which pathway, if any, the covenant can claim.</w:t>
      </w:r>
    </w:p>
    <w:p>
      <w:pPr>
        <w:keepNext/>
        <w:spacing w:before="200" w:after="80"/>
      </w:pPr>
      <w:r>
        <w:rPr>
          <w:rFonts w:ascii="Segoe UI Symbol" w:hAnsi="Segoe UI Symbol"/>
        </w:rPr>
        <w:t xml:space="preserve">☐  </w:t>
      </w:r>
      <w:r>
        <w:rPr>
          <w:b/>
        </w:rPr>
        <w:t xml:space="preserve">1.2  </w:t>
      </w:r>
      <w:r>
        <w:rPr>
          <w:b/>
        </w:rPr>
        <w:t xml:space="preserve">Effective date</w:t>
      </w:r>
      <w:r>
        <w:t xml:space="preserve"> — Recommended (SHOULD)</w:t>
      </w:r>
    </w:p>
    <w:p>
      <w:pPr>
        <w:spacing w:before="0" w:after="120"/>
        <w:ind w:left="540"/>
      </w:pPr>
      <w:r>
        <w:t xml:space="preserve">In Wyoming the effective date is not housekeeping: it picks the legal regime. Contracts entered into on or after July 1, 2025 are tested against Wyo. Stat. § 1-23-108's void-unless-excepted rule, while earlier agreements stay under the common law. An undated or ambiguously dated instrument leaves that threshold question open. </w:t>
      </w:r>
    </w:p>
    <w:p>
      <w:pPr>
        <w:keepNext/>
        <w:spacing w:before="200" w:after="80"/>
      </w:pPr>
      <w:r>
        <w:rPr>
          <w:rFonts w:ascii="Segoe UI Symbol" w:hAnsi="Segoe UI Symbol"/>
        </w:rPr>
        <w:t xml:space="preserve">☐  </w:t>
      </w:r>
      <w:r>
        <w:rPr>
          <w:b/>
        </w:rPr>
        <w:t xml:space="preserve">1.3  </w:t>
      </w:r>
      <w:r>
        <w:rPr>
          <w:b/>
        </w:rPr>
        <w:t xml:space="preserve">Employee title</w:t>
      </w:r>
      <w:r>
        <w:t xml:space="preserve"> — Recommended (SHOULD)</w:t>
      </w:r>
    </w:p>
    <w:p>
      <w:pPr>
        <w:spacing w:before="0" w:after="120"/>
        <w:ind w:left="540"/>
      </w:pPr>
      <w:r>
        <w:t xml:space="preserve">Record the role, not just the name. The exception Wyoming employers lean on most — executive and management personnel and their professional staff — turns on what the worker actually does, so the recorded title and duties are the first exhibit in any pathway argument. </w:t>
      </w:r>
    </w:p>
    <w:p>
      <w:pPr>
        <w:keepNext/>
        <w:spacing w:before="200" w:after="80"/>
      </w:pPr>
      <w:r>
        <w:rPr>
          <w:rFonts w:ascii="Segoe UI Symbol" w:hAnsi="Segoe UI Symbol"/>
        </w:rPr>
        <w:t xml:space="preserve">☐  </w:t>
      </w:r>
      <w:r>
        <w:rPr>
          <w:b/>
        </w:rPr>
        <w:t xml:space="preserve">1.4  </w:t>
      </w:r>
      <w:r>
        <w:rPr>
          <w:b/>
        </w:rPr>
        <w:t xml:space="preserve">Governing law state named</w:t>
      </w:r>
      <w:r>
        <w:t xml:space="preserve"> — Recommended (SHOULD)</w:t>
      </w:r>
    </w:p>
    <w:p>
      <w:pPr>
        <w:spacing w:before="0" w:after="120"/>
        <w:ind w:left="540"/>
      </w:pPr>
      <w:r>
        <w:t xml:space="preserve">Check that the governing state is stated, and treat a clause selecting a friendlier state's law for a Wyoming-based worker with suspicion. Now that the legislature has declared most labor non-competes void, a foreign choice-of-law clause invites a public-policy attack rather than resolving the question.</w:t>
      </w:r>
    </w:p>
    <w:p>
      <w:pPr>
        <w:keepNext/>
        <w:spacing w:before="360" w:after="160"/>
      </w:pPr>
      <w:r>
        <w:rPr>
          <w:b/>
          <w:sz w:val="28"/>
          <w:szCs w:val="28"/>
        </w:rPr>
        <w:t xml:space="preserve">2. Definitions</w:t>
      </w:r>
    </w:p>
    <w:p>
      <w:pPr>
        <w:keepNext/>
        <w:spacing w:before="200" w:after="80"/>
      </w:pPr>
      <w:r>
        <w:rPr>
          <w:rFonts w:ascii="Segoe UI Symbol" w:hAnsi="Segoe UI Symbol"/>
        </w:rPr>
        <w:t xml:space="preserve">☐  </w:t>
      </w:r>
      <w:r>
        <w:rPr>
          <w:b/>
        </w:rPr>
        <w:t xml:space="preserve">2.1  </w:t>
      </w:r>
      <w:r>
        <w:rPr>
          <w:b/>
        </w:rPr>
        <w:t xml:space="preserve">Confidential information</w:t>
      </w:r>
      <w:r>
        <w:t xml:space="preserve"> — Recommended (SHOULD)</w:t>
      </w:r>
    </w:p>
    <w:p>
      <w:pPr>
        <w:spacing w:before="0" w:after="120"/>
        <w:ind w:left="540"/>
      </w:pPr>
      <w:r>
        <w:t xml:space="preserve">In Wyoming the confidentiality definition does double duty: it protects information day-to-day and frames any later argument that a covenant fits the trade-secret pathway. A definition that sweeps in general skills and industry knowledge invites the counter-argument that the clause restrains labor rather than secrets. </w:t>
      </w:r>
    </w:p>
    <w:p>
      <w:pPr>
        <w:keepNext/>
        <w:spacing w:before="200" w:after="80"/>
      </w:pPr>
      <w:r>
        <w:rPr>
          <w:rFonts w:ascii="Segoe UI Symbol" w:hAnsi="Segoe UI Symbol"/>
        </w:rPr>
        <w:t xml:space="preserve">☐  </w:t>
      </w:r>
      <w:r>
        <w:rPr>
          <w:b/>
        </w:rPr>
        <w:t xml:space="preserve">2.2  </w:t>
      </w:r>
      <w:r>
        <w:rPr>
          <w:b/>
        </w:rPr>
        <w:t xml:space="preserve">Trade secrets</w:t>
      </w:r>
      <w:r>
        <w:t xml:space="preserve"> — Recommended (SHOULD)</w:t>
      </w:r>
    </w:p>
    <w:p>
      <w:pPr>
        <w:spacing w:before="0" w:after="120"/>
        <w:ind w:left="540"/>
      </w:pPr>
      <w:r>
        <w:t xml:space="preserve">Wyoming keys its trade-secret exception to the criminal code's definition at W.S. 6-3-501(a)(xi), so a covenant relying on that pathway should define trade secrets in terms that track the statutory bar rather than fold them into general confidential information. How broadly courts will read the carve-out remains an open question. </w:t>
      </w:r>
    </w:p>
    <w:p>
      <w:pPr>
        <w:keepNext/>
        <w:spacing w:before="200" w:after="80"/>
      </w:pPr>
      <w:r>
        <w:rPr>
          <w:rFonts w:ascii="Segoe UI Symbol" w:hAnsi="Segoe UI Symbol"/>
        </w:rPr>
        <w:t xml:space="preserve">☐  </w:t>
      </w:r>
      <w:r>
        <w:rPr>
          <w:b/>
        </w:rPr>
        <w:t xml:space="preserve">2.3  </w:t>
      </w:r>
      <w:r>
        <w:rPr>
          <w:b/>
        </w:rPr>
        <w:t xml:space="preserve">Restricted period</w:t>
      </w:r>
      <w:r>
        <w:t xml:space="preserve"> — Recommended (SHOULD)</w:t>
      </w:r>
    </w:p>
    <w:p>
      <w:pPr>
        <w:spacing w:before="0" w:after="120"/>
        <w:ind w:left="540"/>
      </w:pPr>
      <w:r>
        <w:t xml:space="preserve">One umbrella defined term keeps the duration analysis auditable. In a state that voids rather than trims, a stray clause running on its own longer clock is exactly the drafting slip that can put a whole covenant at risk.</w:t>
      </w:r>
    </w:p>
    <w:p>
      <w:pPr>
        <w:keepNext/>
        <w:spacing w:before="200" w:after="80"/>
      </w:pPr>
      <w:r>
        <w:rPr>
          <w:rFonts w:ascii="Segoe UI Symbol" w:hAnsi="Segoe UI Symbol"/>
        </w:rPr>
        <w:t xml:space="preserve">☐  </w:t>
      </w:r>
      <w:r>
        <w:rPr>
          <w:b/>
        </w:rPr>
        <w:t xml:space="preserve">2.4  </w:t>
      </w:r>
      <w:r>
        <w:rPr>
          <w:b/>
        </w:rPr>
        <w:t xml:space="preserve">Restricted territory</w:t>
      </w:r>
      <w:r>
        <w:t xml:space="preserve"> — Recommended (SHOULD)</w:t>
      </w:r>
    </w:p>
    <w:p>
      <w:pPr>
        <w:spacing w:before="0" w:after="120"/>
        <w:ind w:left="540"/>
      </w:pPr>
      <w:r>
        <w:t xml:space="preserve">Wyoming's common-law test — still governing pre-2025 covenants and covenants drafted into a statutory exception — demands reasonable durational and geographic limits, with the employer carrying the burden. Tie the territory to where the worker actually operated, not to everywhere the company has ambitions. </w:t>
      </w:r>
    </w:p>
    <w:p>
      <w:pPr>
        <w:keepNext/>
        <w:spacing w:before="200" w:after="80"/>
      </w:pPr>
      <w:r>
        <w:rPr>
          <w:rFonts w:ascii="Segoe UI Symbol" w:hAnsi="Segoe UI Symbol"/>
        </w:rPr>
        <w:t xml:space="preserve">☐  </w:t>
      </w:r>
      <w:r>
        <w:rPr>
          <w:b/>
        </w:rPr>
        <w:t xml:space="preserve">2.5  </w:t>
      </w:r>
      <w:r>
        <w:rPr>
          <w:b/>
        </w:rPr>
        <w:t xml:space="preserve">Covered customers</w:t>
      </w:r>
      <w:r>
        <w:t xml:space="preserve"> — Recommended (SHOULD)</w:t>
      </w:r>
    </w:p>
    <w:p>
      <w:pPr>
        <w:spacing w:before="0" w:after="120"/>
        <w:ind w:left="540"/>
      </w:pPr>
      <w:r>
        <w:t xml:space="preserve">Bound the class to customers, vendors, and referral sources the worker dealt with during a stated look-back window. The wider the class reaches beyond actual contact, the stronger the argument that the clause is a covered covenant not to compete travelling under another name. </w:t>
      </w:r>
    </w:p>
    <w:p>
      <w:pPr>
        <w:keepNext/>
        <w:spacing w:before="200" w:after="80"/>
      </w:pPr>
      <w:r>
        <w:rPr>
          <w:rFonts w:ascii="Segoe UI Symbol" w:hAnsi="Segoe UI Symbol"/>
        </w:rPr>
        <w:t xml:space="preserve">☐  </w:t>
      </w:r>
      <w:r>
        <w:rPr>
          <w:b/>
        </w:rPr>
        <w:t xml:space="preserve">2.6  </w:t>
      </w:r>
      <w:r>
        <w:rPr>
          <w:b/>
        </w:rPr>
        <w:t xml:space="preserve">Covered employees</w:t>
      </w:r>
      <w:r>
        <w:t xml:space="preserve"> — Recommended (SHOULD)</w:t>
      </w:r>
    </w:p>
    <w:p>
      <w:pPr>
        <w:spacing w:before="0" w:after="120"/>
        <w:ind w:left="540"/>
      </w:pPr>
      <w:r>
        <w:t xml:space="preserve">Limit the no-poach class to colleagues the departing worker actually worked with or supervised during the look-back window. Wyoming's statute has no express non-solicit exception, so restraint in this definition is what keeps the clause out of the classification fight.</w:t>
      </w:r>
    </w:p>
    <w:p>
      <w:pPr>
        <w:keepNext/>
        <w:spacing w:before="200" w:after="80"/>
      </w:pPr>
      <w:r>
        <w:rPr>
          <w:rFonts w:ascii="Segoe UI Symbol" w:hAnsi="Segoe UI Symbol"/>
        </w:rPr>
        <w:t xml:space="preserve">☐  </w:t>
      </w:r>
      <w:r>
        <w:rPr>
          <w:b/>
        </w:rPr>
        <w:t xml:space="preserve">2.7  </w:t>
      </w:r>
      <w:r>
        <w:rPr>
          <w:b/>
        </w:rPr>
        <w:t xml:space="preserve">Protected business interests</w:t>
      </w:r>
      <w:r>
        <w:t xml:space="preserve"> — Recommended (SHOULD)</w:t>
      </w:r>
    </w:p>
    <w:p>
      <w:pPr>
        <w:spacing w:before="0" w:after="120"/>
        <w:ind w:left="540"/>
      </w:pPr>
      <w:r>
        <w:t xml:space="preserve">Spell out the interests the covenants serve. Wyoming strictly construes restraints against the employer and voids them unless necessary for the employer's reasonable protection, so this definition is the foundation the enforcing party will have to stand on. </w:t>
      </w:r>
    </w:p>
    <w:p>
      <w:pPr>
        <w:keepNext/>
        <w:spacing w:before="200" w:after="80"/>
      </w:pPr>
      <w:r>
        <w:rPr>
          <w:rFonts w:ascii="Segoe UI Symbol" w:hAnsi="Segoe UI Symbol"/>
        </w:rPr>
        <w:t xml:space="preserve">☐  </w:t>
      </w:r>
      <w:r>
        <w:rPr>
          <w:b/>
        </w:rPr>
        <w:t xml:space="preserve">2.8  </w:t>
      </w:r>
      <w:r>
        <w:rPr>
          <w:b/>
        </w:rPr>
        <w:t xml:space="preserve">Competitive business</w:t>
      </w:r>
      <w:r>
        <w:t xml:space="preserve"> — Recommended (SHOULD)</w:t>
      </w:r>
    </w:p>
    <w:p>
      <w:pPr>
        <w:spacing w:before="0" w:after="120"/>
        <w:ind w:left="540"/>
      </w:pPr>
      <w:r>
        <w:t xml:space="preserve">Describe the actual competing activity, narrowly. Because a Wyoming court will not shave an expansive definition down to size, an aggressive competitive-business clause risks the entire covenant rather than just the excess. </w:t>
      </w:r>
    </w:p>
    <w:p>
      <w:pPr>
        <w:keepNext/>
        <w:spacing w:before="200" w:after="80"/>
      </w:pPr>
      <w:r>
        <w:rPr>
          <w:rFonts w:ascii="Segoe UI Symbol" w:hAnsi="Segoe UI Symbol"/>
        </w:rPr>
        <w:t xml:space="preserve">☐  </w:t>
      </w:r>
      <w:r>
        <w:rPr>
          <w:b/>
        </w:rPr>
        <w:t xml:space="preserve">2.9  </w:t>
      </w:r>
      <w:r>
        <w:rPr>
          <w:b/>
        </w:rPr>
        <w:t xml:space="preserve">Small public-stock carve-out</w:t>
      </w:r>
      <w:r>
        <w:t xml:space="preserve"> — Recommended (SHOULD)</w:t>
      </w:r>
    </w:p>
    <w:p>
      <w:pPr>
        <w:spacing w:before="0" w:after="120"/>
        <w:ind w:left="540"/>
      </w:pPr>
      <w:r>
        <w:t xml:space="preserve">Where ownership or investment in competitors is restricted, check for a passive-holdings carve-out below a stated threshold. A clause that technically forbids index funds and ordinary public-company shares is overbroad on its face — and in Wyoming, facial overbreadth is fatal rather than trimmable.</w:t>
      </w:r>
    </w:p>
    <w:p>
      <w:pPr>
        <w:keepNext/>
        <w:spacing w:before="200" w:after="80"/>
      </w:pPr>
      <w:r>
        <w:rPr>
          <w:rFonts w:ascii="Segoe UI Symbol" w:hAnsi="Segoe UI Symbol"/>
        </w:rPr>
        <w:t xml:space="preserve">☐  </w:t>
      </w:r>
      <w:r>
        <w:rPr>
          <w:b/>
        </w:rPr>
        <w:t xml:space="preserve">2.10  </w:t>
      </w:r>
      <w:r>
        <w:rPr>
          <w:b/>
        </w:rPr>
        <w:t xml:space="preserve">Passive public holdings</w:t>
      </w:r>
      <w:r>
        <w:t xml:space="preserve"> — Optional (MAY)</w:t>
      </w:r>
    </w:p>
    <w:p>
      <w:pPr>
        <w:spacing w:before="0" w:after="120"/>
        <w:ind w:left="540"/>
      </w:pPr>
      <w:r>
        <w:t xml:space="preserve">An optional drafting mechanic — many agreements inline the carve-out without a capitalized term. If the defined term exists, verify its threshold matches the operative carve-out language.</w:t>
      </w:r>
    </w:p>
    <w:p>
      <w:pPr>
        <w:keepNext/>
        <w:spacing w:before="200" w:after="80"/>
      </w:pPr>
      <w:r>
        <w:rPr>
          <w:rFonts w:ascii="Segoe UI Symbol" w:hAnsi="Segoe UI Symbol"/>
        </w:rPr>
        <w:t xml:space="preserve">☐  </w:t>
      </w:r>
      <w:r>
        <w:rPr>
          <w:b/>
        </w:rPr>
        <w:t xml:space="preserve">2.11  </w:t>
      </w:r>
      <w:r>
        <w:rPr>
          <w:b/>
        </w:rPr>
        <w:t xml:space="preserve">What counts as soliciting</w:t>
      </w:r>
      <w:r>
        <w:t xml:space="preserve"> — Recommended (SHOULD)</w:t>
      </w:r>
    </w:p>
    <w:p>
      <w:pPr>
        <w:spacing w:before="0" w:after="120"/>
        <w:ind w:left="540"/>
      </w:pPr>
      <w:r>
        <w:t xml:space="preserve">Pin down whether solicitation means initiating contact, accepting business, or both. In Wyoming the stakes are classification: the more conduct the term reaches, the closer the clause moves to a restraint on receiving compensation for labor — the very thing the statute voids. </w:t>
      </w:r>
    </w:p>
    <w:p>
      <w:pPr>
        <w:keepNext/>
        <w:spacing w:before="200" w:after="80"/>
      </w:pPr>
      <w:r>
        <w:rPr>
          <w:rFonts w:ascii="Segoe UI Symbol" w:hAnsi="Segoe UI Symbol"/>
        </w:rPr>
        <w:t xml:space="preserve">☐  </w:t>
      </w:r>
      <w:r>
        <w:rPr>
          <w:b/>
        </w:rPr>
        <w:t xml:space="preserve">2.12  </w:t>
      </w:r>
      <w:r>
        <w:rPr>
          <w:b/>
        </w:rPr>
        <w:t xml:space="preserve">Termination of employment</w:t>
      </w:r>
      <w:r>
        <w:t xml:space="preserve"> — Recommended (SHOULD)</w:t>
      </w:r>
    </w:p>
    <w:p>
      <w:pPr>
        <w:spacing w:before="0" w:after="120"/>
        <w:ind w:left="540"/>
      </w:pPr>
      <w:r>
        <w:t xml:space="preserve">Confirm the trigger covers resignation, dismissal, and expiration of a fixed term alike. The restricted-period math only works if the start event is unambiguous regardless of who ended the relationship.</w:t>
      </w:r>
    </w:p>
    <w:p>
      <w:pPr>
        <w:keepNext/>
        <w:spacing w:before="360" w:after="160"/>
      </w:pPr>
      <w:r>
        <w:rPr>
          <w:b/>
          <w:sz w:val="28"/>
          <w:szCs w:val="28"/>
        </w:rPr>
        <w:t xml:space="preserve">3. Timing and execution acknowledgements</w:t>
      </w:r>
    </w:p>
    <w:p>
      <w:pPr>
        <w:keepNext/>
        <w:spacing w:before="200" w:after="80"/>
      </w:pPr>
      <w:r>
        <w:rPr>
          <w:rFonts w:ascii="Segoe UI Symbol" w:hAnsi="Segoe UI Symbol"/>
        </w:rPr>
        <w:t xml:space="preserve">☐  </w:t>
      </w:r>
      <w:r>
        <w:rPr>
          <w:b/>
        </w:rPr>
        <w:t xml:space="preserve">3.1  </w:t>
      </w:r>
      <w:r>
        <w:rPr>
          <w:b/>
        </w:rPr>
        <w:t xml:space="preserve">When the agreement was signed</w:t>
      </w:r>
      <w:r>
        <w:t xml:space="preserve"> — Recommended (SHOULD)</w:t>
      </w:r>
    </w:p>
    <w:p>
      <w:pPr>
        <w:spacing w:before="0" w:after="120"/>
        <w:ind w:left="540"/>
      </w:pPr>
      <w:r>
        <w:t xml:space="preserve">In Wyoming this acknowledgement preserves substantive facts: a covenant signed after employment begins requires separate contemporaneous consideration, because continued employment alone will not support it. The recital should say when signing happened relative to the start date and what new value was exchanged. </w:t>
      </w:r>
    </w:p>
    <w:p>
      <w:pPr>
        <w:keepNext/>
        <w:spacing w:before="200" w:after="80"/>
      </w:pPr>
      <w:r>
        <w:rPr>
          <w:rFonts w:ascii="Segoe UI Symbol" w:hAnsi="Segoe UI Symbol"/>
        </w:rPr>
        <w:t xml:space="preserve">☐  </w:t>
      </w:r>
      <w:r>
        <w:rPr>
          <w:b/>
        </w:rPr>
        <w:t xml:space="preserve">3.2  </w:t>
      </w:r>
      <w:r>
        <w:rPr>
          <w:b/>
        </w:rPr>
        <w:t xml:space="preserve">Chance to consult a lawyer</w:t>
      </w:r>
      <w:r>
        <w:t xml:space="preserve"> — Recommended (SHOULD)</w:t>
      </w:r>
    </w:p>
    <w:p>
      <w:pPr>
        <w:spacing w:before="0" w:after="120"/>
        <w:ind w:left="540"/>
      </w:pPr>
      <w:r>
        <w:t xml:space="preserve">Inexpensive procedural-fairness evidence in a state whose courts rigidly scan restraints against the employer. No Wyoming statute requires the acknowledgement, but it undercuts any later narrative that the covenant was sprung on the worker. </w:t>
      </w:r>
    </w:p>
    <w:p>
      <w:pPr>
        <w:keepNext/>
        <w:spacing w:before="360" w:after="160"/>
      </w:pPr>
      <w:r>
        <w:rPr>
          <w:b/>
          <w:sz w:val="28"/>
          <w:szCs w:val="28"/>
        </w:rPr>
        <w:t xml:space="preserve">4. Confidentiality and trade-secret treatment</w:t>
      </w:r>
    </w:p>
    <w:p>
      <w:pPr>
        <w:keepNext/>
        <w:spacing w:before="200" w:after="80"/>
      </w:pPr>
      <w:r>
        <w:rPr>
          <w:rFonts w:ascii="Segoe UI Symbol" w:hAnsi="Segoe UI Symbol"/>
        </w:rPr>
        <w:t xml:space="preserve">☐  </w:t>
      </w:r>
      <w:r>
        <w:rPr>
          <w:b/>
        </w:rPr>
        <w:t xml:space="preserve">4.1  </w:t>
      </w:r>
      <w:r>
        <w:rPr>
          <w:b/>
        </w:rPr>
        <w:t xml:space="preserve">Trade-secret protection without an end date</w:t>
      </w:r>
      <w:r>
        <w:t xml:space="preserve"> — Required (MUST)</w:t>
      </w:r>
    </w:p>
    <w:p>
      <w:pPr>
        <w:spacing w:before="0" w:after="120"/>
        <w:ind w:left="540"/>
      </w:pPr>
      <w:r>
        <w:t xml:space="preserve">The trade-secret obligation should run for as long as secrecy persists — that is how federal law defines the right, and in Wyoming it also preserves the argument that an associated covenant fits the trade-secret pathway. A fixed end date concedes statutory protection for nothing in return. </w:t>
      </w:r>
    </w:p>
    <w:p>
      <w:pPr>
        <w:keepNext/>
        <w:spacing w:before="200" w:after="80"/>
      </w:pPr>
      <w:r>
        <w:rPr>
          <w:rFonts w:ascii="Segoe UI Symbol" w:hAnsi="Segoe UI Symbol"/>
        </w:rPr>
        <w:t xml:space="preserve">☐  </w:t>
      </w:r>
      <w:r>
        <w:rPr>
          <w:b/>
        </w:rPr>
        <w:t xml:space="preserve">4.2  </w:t>
      </w:r>
      <w:r>
        <w:rPr>
          <w:b/>
        </w:rPr>
        <w:t xml:space="preserve">Confidentiality end date</w:t>
      </w:r>
      <w:r>
        <w:t xml:space="preserve"> — Recommended (SHOULD)</w:t>
      </w:r>
    </w:p>
    <w:p>
      <w:pPr>
        <w:spacing w:before="0" w:after="120"/>
        <w:ind w:left="540"/>
      </w:pPr>
      <w:r>
        <w:t xml:space="preserve">Give ordinary confidential information its own finite term, separate from the perpetual trade-secret obligation. A perpetual restraint on non-secret information reads as overreach in a state already primed to void rather than narrow.</w:t>
      </w:r>
    </w:p>
    <w:p>
      <w:pPr>
        <w:keepNext/>
        <w:spacing w:before="360" w:after="160"/>
      </w:pPr>
      <w:r>
        <w:rPr>
          <w:b/>
          <w:sz w:val="28"/>
          <w:szCs w:val="28"/>
        </w:rPr>
        <w:t xml:space="preserve">5. Permitted disclosures and protected conduct</w:t>
      </w:r>
    </w:p>
    <w:p>
      <w:pPr>
        <w:keepNext/>
        <w:spacing w:before="200" w:after="80"/>
      </w:pPr>
      <w:r>
        <w:rPr>
          <w:rFonts w:ascii="Segoe UI Symbol" w:hAnsi="Segoe UI Symbol"/>
        </w:rPr>
        <w:t xml:space="preserve">☐  </w:t>
      </w:r>
      <w:r>
        <w:rPr>
          <w:b/>
        </w:rPr>
        <w:t xml:space="preserve">5.1  </w:t>
      </w:r>
      <w:r>
        <w:rPr>
          <w:b/>
        </w:rPr>
        <w:t xml:space="preserve">DTSA whistleblower notice</w:t>
      </w:r>
      <w:r>
        <w:t xml:space="preserve"> — Required (MUST)</w:t>
      </w:r>
    </w:p>
    <w:p>
      <w:pPr>
        <w:spacing w:before="0" w:after="120"/>
        <w:ind w:left="540"/>
      </w:pPr>
      <w:r>
        <w:t xml:space="preserve">Required by federal law in Wyoming as everywhere else. An employer that omits the immunity notice forfeits exemplary damages and attorney fees in a later trade-secret suit against the worker — a silent, self-inflicted loss. </w:t>
      </w:r>
    </w:p>
    <w:p>
      <w:pPr>
        <w:keepNext/>
        <w:spacing w:before="200" w:after="80"/>
      </w:pPr>
      <w:r>
        <w:rPr>
          <w:rFonts w:ascii="Segoe UI Symbol" w:hAnsi="Segoe UI Symbol"/>
        </w:rPr>
        <w:t xml:space="preserve">☐  </w:t>
      </w:r>
      <w:r>
        <w:rPr>
          <w:b/>
        </w:rPr>
        <w:t xml:space="preserve">5.2  </w:t>
      </w:r>
      <w:r>
        <w:rPr>
          <w:b/>
        </w:rPr>
        <w:t xml:space="preserve">Wage-discussion carve-out</w:t>
      </w:r>
      <w:r>
        <w:t xml:space="preserve"> — Required (MUST)</w:t>
      </w:r>
    </w:p>
    <w:p>
      <w:pPr>
        <w:spacing w:before="0" w:after="120"/>
        <w:ind w:left="540"/>
      </w:pPr>
      <w:r>
        <w:t xml:space="preserve">Wage-and-working-conditions speech is federally protected, and confidentiality and non-disparagement language must yield to it. The Board's recent decisions strike overbroad clauses no matter which state's law governs the contract. </w:t>
      </w:r>
    </w:p>
    <w:p>
      <w:pPr>
        <w:keepNext/>
        <w:spacing w:before="200" w:after="80"/>
      </w:pPr>
      <w:r>
        <w:rPr>
          <w:rFonts w:ascii="Segoe UI Symbol" w:hAnsi="Segoe UI Symbol"/>
        </w:rPr>
        <w:t xml:space="preserve">☐  </w:t>
      </w:r>
      <w:r>
        <w:rPr>
          <w:b/>
        </w:rPr>
        <w:t xml:space="preserve">5.3  </w:t>
      </w:r>
      <w:r>
        <w:rPr>
          <w:b/>
        </w:rPr>
        <w:t xml:space="preserve">Court-ordered disclosure allowed</w:t>
      </w:r>
      <w:r>
        <w:t xml:space="preserve"> — Recommended (SHOULD)</w:t>
      </w:r>
    </w:p>
    <w:p>
      <w:pPr>
        <w:spacing w:before="0" w:after="120"/>
        <w:ind w:left="540"/>
      </w:pPr>
      <w:r>
        <w:t xml:space="preserve">Verify the carve-out for disclosure required by law, court order, or a government investigation, with notice to the employer where lawful. No contract overrides compelled process; the carve-out keeps the worker from being squeezed between competing obligations.</w:t>
      </w:r>
    </w:p>
    <w:p>
      <w:pPr>
        <w:keepNext/>
        <w:spacing w:before="360" w:after="160"/>
      </w:pPr>
      <w:r>
        <w:rPr>
          <w:b/>
          <w:sz w:val="28"/>
          <w:szCs w:val="28"/>
        </w:rPr>
        <w:t xml:space="preserve">6. Property return and certification</w:t>
      </w:r>
    </w:p>
    <w:p>
      <w:pPr>
        <w:keepNext/>
        <w:spacing w:before="200" w:after="80"/>
      </w:pPr>
      <w:r>
        <w:rPr>
          <w:rFonts w:ascii="Segoe UI Symbol" w:hAnsi="Segoe UI Symbol"/>
        </w:rPr>
        <w:t xml:space="preserve">☐  </w:t>
      </w:r>
      <w:r>
        <w:rPr>
          <w:b/>
        </w:rPr>
        <w:t xml:space="preserve">6.1  </w:t>
      </w:r>
      <w:r>
        <w:rPr>
          <w:b/>
        </w:rPr>
        <w:t xml:space="preserve">Property return and sign-off</w:t>
      </w:r>
      <w:r>
        <w:t xml:space="preserve"> — Recommended (SHOULD)</w:t>
      </w:r>
    </w:p>
    <w:p>
      <w:pPr>
        <w:spacing w:before="0" w:after="120"/>
        <w:ind w:left="540"/>
      </w:pPr>
      <w:r>
        <w:t xml:space="preserve">Return-or-destroy at separation, certified in writing. In Wyoming, where the surviving restraints after 2025 are mostly confidentiality-shaped, the certification is the employer's cleanest evidence if protected information later walks out the door.</w:t>
      </w:r>
    </w:p>
    <w:p>
      <w:pPr>
        <w:keepNext/>
        <w:spacing w:before="360" w:after="160"/>
      </w:pPr>
      <w:r>
        <w:rPr>
          <w:b/>
          <w:sz w:val="28"/>
          <w:szCs w:val="28"/>
        </w:rPr>
        <w:t xml:space="preserve">7. Restrictive covenants (each independently includable)</w:t>
      </w:r>
    </w:p>
    <w:p>
      <w:pPr>
        <w:keepNext/>
        <w:spacing w:before="200" w:after="80"/>
      </w:pPr>
      <w:r>
        <w:rPr>
          <w:rFonts w:ascii="Segoe UI Symbol" w:hAnsi="Segoe UI Symbol"/>
        </w:rPr>
        <w:t xml:space="preserve">☐  </w:t>
      </w:r>
      <w:r>
        <w:rPr>
          <w:b/>
        </w:rPr>
        <w:t xml:space="preserve">7.1  </w:t>
      </w:r>
      <w:r>
        <w:rPr>
          <w:b/>
        </w:rPr>
        <w:t xml:space="preserve">Employee non-solicit</w:t>
      </w:r>
      <w:r>
        <w:t xml:space="preserve"> — Optional (MAY)</w:t>
      </w:r>
    </w:p>
    <w:p>
      <w:pPr>
        <w:spacing w:before="0" w:after="120"/>
        <w:ind w:left="540"/>
      </w:pPr>
      <w:r>
        <w:t xml:space="preserve">Optional — and in Wyoming, commentary splits on whether the 2025 statute leaves it untouched. Keep the clause scoped to the defined Covered Employees class and the Restricted Period, and treat breadth that approaches a recruiting ban as classification risk. </w:t>
      </w:r>
    </w:p>
    <w:p>
      <w:pPr>
        <w:keepNext/>
        <w:spacing w:before="200" w:after="80"/>
      </w:pPr>
      <w:r>
        <w:rPr>
          <w:rFonts w:ascii="Segoe UI Symbol" w:hAnsi="Segoe UI Symbol"/>
        </w:rPr>
        <w:t xml:space="preserve">☐  </w:t>
      </w:r>
      <w:r>
        <w:rPr>
          <w:b/>
        </w:rPr>
        <w:t xml:space="preserve">7.2  </w:t>
      </w:r>
      <w:r>
        <w:rPr>
          <w:b/>
        </w:rPr>
        <w:t xml:space="preserve">Customer non-solicit</w:t>
      </w:r>
      <w:r>
        <w:t xml:space="preserve"> — Optional (MAY)</w:t>
      </w:r>
    </w:p>
    <w:p>
      <w:pPr>
        <w:spacing w:before="0" w:after="120"/>
        <w:ind w:left="540"/>
      </w:pPr>
      <w:r>
        <w:t xml:space="preserve">When present, confirm it reaches only Covered Customers for the Restricted Period. The statute contains no express carve-out for customer non-solicits, so the clause survives by staying narrow enough that no court needs to classify it as a covenant not to compete. </w:t>
      </w:r>
    </w:p>
    <w:p>
      <w:pPr>
        <w:keepNext/>
        <w:spacing w:before="200" w:after="80"/>
      </w:pPr>
      <w:r>
        <w:rPr>
          <w:rFonts w:ascii="Segoe UI Symbol" w:hAnsi="Segoe UI Symbol"/>
        </w:rPr>
        <w:t xml:space="preserve">☐  </w:t>
      </w:r>
      <w:r>
        <w:rPr>
          <w:b/>
        </w:rPr>
        <w:t xml:space="preserve">7.3  </w:t>
      </w:r>
      <w:r>
        <w:rPr>
          <w:b/>
        </w:rPr>
        <w:t xml:space="preserve">Non-dealing covenant</w:t>
      </w:r>
      <w:r>
        <w:t xml:space="preserve"> — Optional (MAY)</w:t>
      </w:r>
    </w:p>
    <w:p>
      <w:pPr>
        <w:spacing w:before="0" w:after="120"/>
        <w:ind w:left="540"/>
      </w:pPr>
      <w:r>
        <w:t xml:space="preserve">Non-dealing bars serving covered customers even when they make the first call — functionally closer to a non-compete than a non-solicit. In Wyoming that proximity is dangerous: a court asked to classify the clause could place it inside the statutory void. </w:t>
      </w:r>
    </w:p>
    <w:p>
      <w:pPr>
        <w:keepNext/>
        <w:spacing w:before="200" w:after="80"/>
      </w:pPr>
      <w:r>
        <w:rPr>
          <w:rFonts w:ascii="Segoe UI Symbol" w:hAnsi="Segoe UI Symbol"/>
        </w:rPr>
        <w:t xml:space="preserve">☐  </w:t>
      </w:r>
      <w:r>
        <w:rPr>
          <w:b/>
        </w:rPr>
        <w:t xml:space="preserve">7.4  </w:t>
      </w:r>
      <w:r>
        <w:rPr>
          <w:b/>
        </w:rPr>
        <w:t xml:space="preserve">Non-compete covenant</w:t>
      </w:r>
      <w:r>
        <w:t xml:space="preserve"> — Optional (MAY)</w:t>
      </w:r>
    </w:p>
    <w:p>
      <w:pPr>
        <w:spacing w:before="0" w:after="120"/>
        <w:ind w:left="540"/>
      </w:pPr>
      <w:r>
        <w:t xml:space="preserve">A post-July-2025 Wyoming non-compete is void unless it fits one of four statutory pathways — there is no general reasonableness fallback. If this clause appears, route the review through the Wyoming statutory-gate items at the end of this checklist before anything else about it. </w:t>
      </w:r>
    </w:p>
    <w:p>
      <w:pPr>
        <w:keepNext/>
        <w:spacing w:before="200" w:after="80"/>
      </w:pPr>
      <w:r>
        <w:rPr>
          <w:rFonts w:ascii="Segoe UI Symbol" w:hAnsi="Segoe UI Symbol"/>
        </w:rPr>
        <w:t xml:space="preserve">☐  </w:t>
      </w:r>
      <w:r>
        <w:rPr>
          <w:b/>
        </w:rPr>
        <w:t xml:space="preserve">7.5  </w:t>
      </w:r>
      <w:r>
        <w:rPr>
          <w:b/>
        </w:rPr>
        <w:t xml:space="preserve">Named-competitor narrowing</w:t>
      </w:r>
      <w:r>
        <w:t xml:space="preserve"> — Recommended (SHOULD)</w:t>
      </w:r>
    </w:p>
    <w:p>
      <w:pPr>
        <w:spacing w:before="0" w:after="120"/>
        <w:ind w:left="540"/>
      </w:pPr>
      <w:r>
        <w:t xml:space="preserve">A named-competitor list is the Wyoming-rational way to draft. The state supreme court has said outright that refusing to blue-pencil is meant to push employers toward incorporating only reasonable restraints in the first place — a covenant scoped to actual competitors is that instruction followed. </w:t>
      </w:r>
    </w:p>
    <w:p>
      <w:pPr>
        <w:keepNext/>
        <w:spacing w:before="200" w:after="80"/>
      </w:pPr>
      <w:r>
        <w:rPr>
          <w:rFonts w:ascii="Segoe UI Symbol" w:hAnsi="Segoe UI Symbol"/>
        </w:rPr>
        <w:t xml:space="preserve">☐  </w:t>
      </w:r>
      <w:r>
        <w:rPr>
          <w:b/>
        </w:rPr>
        <w:t xml:space="preserve">7.6  </w:t>
      </w:r>
      <w:r>
        <w:rPr>
          <w:b/>
        </w:rPr>
        <w:t xml:space="preserve">Non-investment covenant</w:t>
      </w:r>
      <w:r>
        <w:t xml:space="preserve"> — Optional (MAY)</w:t>
      </w:r>
    </w:p>
    <w:p>
      <w:pPr>
        <w:spacing w:before="0" w:after="120"/>
        <w:ind w:left="540"/>
      </w:pPr>
      <w:r>
        <w:t xml:space="preserve">Rare and deliberate. Confirm the passive-holdings carve-out is intact and the clause runs on the shared Restricted Period — and watch for investment language broad enough to restrain how the worker earns a living, which is where Wyoming's statute bites.</w:t>
      </w:r>
    </w:p>
    <w:p>
      <w:pPr>
        <w:keepNext/>
        <w:spacing w:before="360" w:after="160"/>
      </w:pPr>
      <w:r>
        <w:rPr>
          <w:b/>
          <w:sz w:val="28"/>
          <w:szCs w:val="28"/>
        </w:rPr>
        <w:t xml:space="preserve">8. Non-disparagement</w:t>
      </w:r>
    </w:p>
    <w:p>
      <w:pPr>
        <w:keepNext/>
        <w:spacing w:before="200" w:after="80"/>
      </w:pPr>
      <w:r>
        <w:rPr>
          <w:rFonts w:ascii="Segoe UI Symbol" w:hAnsi="Segoe UI Symbol"/>
        </w:rPr>
        <w:t xml:space="preserve">☐  </w:t>
      </w:r>
      <w:r>
        <w:rPr>
          <w:b/>
        </w:rPr>
        <w:t xml:space="preserve">8.1  </w:t>
      </w:r>
      <w:r>
        <w:rPr>
          <w:b/>
        </w:rPr>
        <w:t xml:space="preserve">Non-disparagement</w:t>
      </w:r>
      <w:r>
        <w:t xml:space="preserve"> — Recommended (SHOULD)</w:t>
      </w:r>
    </w:p>
    <w:p>
      <w:pPr>
        <w:spacing w:before="0" w:after="120"/>
        <w:ind w:left="540"/>
      </w:pPr>
      <w:r>
        <w:t xml:space="preserve">Standard inclusion with a stated term, but the carve-outs do the legal work: truthful testimony, statements to government agencies, and protected workplace speech must stay outside the clause's reach, or federal labor law will treat the whole provision as overbroad. </w:t>
      </w:r>
    </w:p>
    <w:p>
      <w:pPr>
        <w:keepNext/>
        <w:spacing w:before="360" w:after="160"/>
      </w:pPr>
      <w:r>
        <w:rPr>
          <w:b/>
          <w:sz w:val="28"/>
          <w:szCs w:val="28"/>
        </w:rPr>
        <w:t xml:space="preserve">9. Physician-specific notices and carve-outs</w:t>
      </w:r>
    </w:p>
    <w:p>
      <w:pPr>
        <w:keepNext/>
        <w:spacing w:before="200" w:after="80"/>
      </w:pPr>
      <w:r>
        <w:rPr>
          <w:rFonts w:ascii="Segoe UI Symbol" w:hAnsi="Segoe UI Symbol"/>
        </w:rPr>
        <w:t xml:space="preserve">☐  </w:t>
      </w:r>
      <w:r>
        <w:rPr>
          <w:b/>
        </w:rPr>
        <w:t xml:space="preserve">9.1  </w:t>
      </w:r>
      <w:r>
        <w:rPr>
          <w:b/>
        </w:rPr>
        <w:t xml:space="preserve">Physician rights and notices</w:t>
      </w:r>
      <w:r>
        <w:t xml:space="preserve"> — Recommended (SHOULD)</w:t>
      </w:r>
    </w:p>
    <w:p>
      <w:pPr>
        <w:spacing w:before="0" w:after="120"/>
        <w:ind w:left="540"/>
      </w:pPr>
      <w:r>
        <w:t xml:space="preserve">The dedicated clause should recite both Wyoming physician rules: practice-restraining non-competes between physicians are void, and a departing physician may tell rare-disorder patients where the practice moved without liability. Do not lean on the executive exception for physicians employed by hospitals or other non-physician entities — the statute's outer reach there is unsettled. </w:t>
      </w:r>
    </w:p>
    <w:p>
      <w:pPr>
        <w:keepNext/>
        <w:spacing w:before="360" w:after="160"/>
      </w:pPr>
      <w:r>
        <w:rPr>
          <w:b/>
          <w:sz w:val="28"/>
          <w:szCs w:val="28"/>
        </w:rPr>
        <w:t xml:space="preserve">10. No conflicting obligations</w:t>
      </w:r>
    </w:p>
    <w:p>
      <w:pPr>
        <w:keepNext/>
        <w:spacing w:before="200" w:after="80"/>
      </w:pPr>
      <w:r>
        <w:rPr>
          <w:rFonts w:ascii="Segoe UI Symbol" w:hAnsi="Segoe UI Symbol"/>
        </w:rPr>
        <w:t xml:space="preserve">☐  </w:t>
      </w:r>
      <w:r>
        <w:rPr>
          <w:b/>
        </w:rPr>
        <w:t xml:space="preserve">10.1  </w:t>
      </w:r>
      <w:r>
        <w:rPr>
          <w:b/>
        </w:rPr>
        <w:t xml:space="preserve">No conflicting obligations</w:t>
      </w:r>
      <w:r>
        <w:t xml:space="preserve"> — Recommended (SHOULD)</w:t>
      </w:r>
    </w:p>
    <w:p>
      <w:pPr>
        <w:spacing w:before="0" w:after="120"/>
        <w:ind w:left="540"/>
      </w:pPr>
      <w:r>
        <w:t xml:space="preserve">The worker's representation that no earlier agreement or order blocks the new role. Useful everywhere — and in Wyoming it also surfaces legacy pre-2025 covenants, which remain enforceable under common law and can ambush an unwary new employer.</w:t>
      </w:r>
    </w:p>
    <w:p>
      <w:pPr>
        <w:keepNext/>
        <w:spacing w:before="360" w:after="160"/>
      </w:pPr>
      <w:r>
        <w:rPr>
          <w:b/>
          <w:sz w:val="28"/>
          <w:szCs w:val="28"/>
        </w:rPr>
        <w:t xml:space="preserve">11. Notice to future employers and other third parties</w:t>
      </w:r>
    </w:p>
    <w:p>
      <w:pPr>
        <w:keepNext/>
        <w:spacing w:before="200" w:after="80"/>
      </w:pPr>
      <w:r>
        <w:rPr>
          <w:rFonts w:ascii="Segoe UI Symbol" w:hAnsi="Segoe UI Symbol"/>
        </w:rPr>
        <w:t xml:space="preserve">☐  </w:t>
      </w:r>
      <w:r>
        <w:rPr>
          <w:b/>
        </w:rPr>
        <w:t xml:space="preserve">11.1  </w:t>
      </w:r>
      <w:r>
        <w:rPr>
          <w:b/>
        </w:rPr>
        <w:t xml:space="preserve">Notice to future employers</w:t>
      </w:r>
      <w:r>
        <w:t xml:space="preserve"> — Optional (MAY)</w:t>
      </w:r>
    </w:p>
    <w:p>
      <w:pPr>
        <w:spacing w:before="0" w:after="120"/>
        <w:ind w:left="540"/>
      </w:pPr>
      <w:r>
        <w:t xml:space="preserve">A genuine drafting choice. If the clause appears, condition any disclosure on a reasonable belief of breach — telling a new employer about a covenant Wyoming's statute likely voids is a tortious-interference claim waiting to be filed.</w:t>
      </w:r>
    </w:p>
    <w:p>
      <w:pPr>
        <w:keepNext/>
        <w:spacing w:before="360" w:after="160"/>
      </w:pPr>
      <w:r>
        <w:rPr>
          <w:b/>
          <w:sz w:val="28"/>
          <w:szCs w:val="28"/>
        </w:rPr>
        <w:t xml:space="preserve">12. Tolling during breach</w:t>
      </w:r>
    </w:p>
    <w:p>
      <w:pPr>
        <w:keepNext/>
        <w:spacing w:before="200" w:after="80"/>
      </w:pPr>
      <w:r>
        <w:rPr>
          <w:rFonts w:ascii="Segoe UI Symbol" w:hAnsi="Segoe UI Symbol"/>
        </w:rPr>
        <w:t xml:space="preserve">☐  </w:t>
      </w:r>
      <w:r>
        <w:rPr>
          <w:b/>
        </w:rPr>
        <w:t xml:space="preserve">12.1  </w:t>
      </w:r>
      <w:r>
        <w:rPr>
          <w:b/>
        </w:rPr>
        <w:t xml:space="preserve">Restriction extended during a breach</w:t>
      </w:r>
      <w:r>
        <w:t xml:space="preserve"> — Recommended (SHOULD)</w:t>
      </w:r>
    </w:p>
    <w:p>
      <w:pPr>
        <w:spacing w:before="0" w:after="120"/>
        <w:ind w:left="540"/>
      </w:pPr>
      <w:r>
        <w:t xml:space="preserve">The agreement should say whether the clock pauses during a breach — but know the Wyoming posture before approving one: no published Wyoming authority blesses tolling, and the added duration faces the same strict scrutiny as the original term, with voiding rather than trimming as the realistic downside. </w:t>
      </w:r>
    </w:p>
    <w:p>
      <w:pPr>
        <w:keepNext/>
        <w:spacing w:before="360" w:after="160"/>
      </w:pPr>
      <w:r>
        <w:rPr>
          <w:b/>
          <w:sz w:val="28"/>
          <w:szCs w:val="28"/>
        </w:rPr>
        <w:t xml:space="preserve">13. Remedies</w:t>
      </w:r>
    </w:p>
    <w:p>
      <w:pPr>
        <w:keepNext/>
        <w:spacing w:before="200" w:after="80"/>
      </w:pPr>
      <w:r>
        <w:rPr>
          <w:rFonts w:ascii="Segoe UI Symbol" w:hAnsi="Segoe UI Symbol"/>
        </w:rPr>
        <w:t xml:space="preserve">☐  </w:t>
      </w:r>
      <w:r>
        <w:rPr>
          <w:b/>
        </w:rPr>
        <w:t xml:space="preserve">13.1  </w:t>
      </w:r>
      <w:r>
        <w:rPr>
          <w:b/>
        </w:rPr>
        <w:t xml:space="preserve">Injunction availability</w:t>
      </w:r>
      <w:r>
        <w:t xml:space="preserve"> — Recommended (SHOULD)</w:t>
      </w:r>
    </w:p>
    <w:p>
      <w:pPr>
        <w:spacing w:before="0" w:after="120"/>
        <w:ind w:left="540"/>
      </w:pPr>
      <w:r>
        <w:t xml:space="preserve">Look for the acknowledgement that breach may cause irreparable harm and that an injunction is appropriate relief. Wyoming has no statutory presumption of irreparable injury for covenant breaches, so this contractual recital is most of the scaffolding an employer brings to the emergency-relief stage.</w:t>
      </w:r>
    </w:p>
    <w:p>
      <w:pPr>
        <w:keepNext/>
        <w:spacing w:before="200" w:after="80"/>
      </w:pPr>
      <w:r>
        <w:rPr>
          <w:rFonts w:ascii="Segoe UI Symbol" w:hAnsi="Segoe UI Symbol"/>
        </w:rPr>
        <w:t xml:space="preserve">☐  </w:t>
      </w:r>
      <w:r>
        <w:rPr>
          <w:b/>
        </w:rPr>
        <w:t xml:space="preserve">13.2  </w:t>
      </w:r>
      <w:r>
        <w:rPr>
          <w:b/>
        </w:rPr>
        <w:t xml:space="preserve">Attorney fees and costs</w:t>
      </w:r>
      <w:r>
        <w:t xml:space="preserve"> — Optional (MAY)</w:t>
      </w:r>
    </w:p>
    <w:p>
      <w:pPr>
        <w:spacing w:before="0" w:after="120"/>
        <w:ind w:left="540"/>
      </w:pPr>
      <w:r>
        <w:t xml:space="preserve">Fee-shifting remains a commercial choice in Wyoming — no covenant-specific fee statute displaces the American Rule. If the clause appears, check that it is mutual and keyed to prevailing-party status rather than one-way in the employer's favor.</w:t>
      </w:r>
    </w:p>
    <w:p>
      <w:pPr>
        <w:keepNext/>
        <w:spacing w:before="360" w:after="160"/>
      </w:pPr>
      <w:r>
        <w:rPr>
          <w:b/>
          <w:sz w:val="28"/>
          <w:szCs w:val="28"/>
        </w:rPr>
        <w:t xml:space="preserve">14. Severability and reformation</w:t>
      </w:r>
    </w:p>
    <w:p>
      <w:pPr>
        <w:keepNext/>
        <w:spacing w:before="200" w:after="80"/>
      </w:pPr>
      <w:r>
        <w:rPr>
          <w:rFonts w:ascii="Segoe UI Symbol" w:hAnsi="Segoe UI Symbol"/>
        </w:rPr>
        <w:t xml:space="preserve">☐  </w:t>
      </w:r>
      <w:r>
        <w:rPr>
          <w:b/>
        </w:rPr>
        <w:t xml:space="preserve">14.1  </w:t>
      </w:r>
      <w:r>
        <w:rPr>
          <w:b/>
        </w:rPr>
        <w:t xml:space="preserve">Judicial reformation disclaimed</w:t>
      </w:r>
      <w:r>
        <w:t xml:space="preserve"> — Required (MUST)</w:t>
      </w:r>
    </w:p>
    <w:p>
      <w:pPr>
        <w:spacing w:before="0" w:after="120"/>
        <w:ind w:left="540"/>
      </w:pPr>
      <w:r>
        <w:t xml:space="preserve">Flip the usual severability instinct: in Wyoming the clause must disclaim judicial reformation, not request it. Savings language inviting a court to trim an overbroad covenant is ineffective here — the supreme court refuses to redraft non-competes, and an overbroad covenant is void in its entirety — so the agreement has to be drafted within the enforceable scope from the outset, and the severability clause should say exactly that. </w:t>
      </w:r>
    </w:p>
    <w:p>
      <w:pPr>
        <w:keepNext/>
        <w:spacing w:before="360" w:after="160"/>
      </w:pPr>
      <w:r>
        <w:rPr>
          <w:b/>
          <w:sz w:val="28"/>
          <w:szCs w:val="28"/>
        </w:rPr>
        <w:t xml:space="preserve">15. Survival</w:t>
      </w:r>
    </w:p>
    <w:p>
      <w:pPr>
        <w:keepNext/>
        <w:spacing w:before="200" w:after="80"/>
      </w:pPr>
      <w:r>
        <w:rPr>
          <w:rFonts w:ascii="Segoe UI Symbol" w:hAnsi="Segoe UI Symbol"/>
        </w:rPr>
        <w:t xml:space="preserve">☐  </w:t>
      </w:r>
      <w:r>
        <w:rPr>
          <w:b/>
        </w:rPr>
        <w:t xml:space="preserve">15.1  </w:t>
      </w:r>
      <w:r>
        <w:rPr>
          <w:b/>
        </w:rPr>
        <w:t xml:space="preserve">Survival after the agreement ends</w:t>
      </w:r>
      <w:r>
        <w:t xml:space="preserve"> — Recommended (SHOULD)</w:t>
      </w:r>
    </w:p>
    <w:p>
      <w:pPr>
        <w:spacing w:before="0" w:after="120"/>
        <w:ind w:left="540"/>
      </w:pPr>
      <w:r>
        <w:t xml:space="preserve">Per-covenant survival keeps each clock independently checkable — perpetual for trade secrets, finite elsewhere. Bundled survival language is how an unreviewed duration slips through, and in Wyoming an indefensible duration voids the covenant it sits in rather than getting shortened.</w:t>
      </w:r>
    </w:p>
    <w:p>
      <w:pPr>
        <w:keepNext/>
        <w:spacing w:before="360" w:after="160"/>
      </w:pPr>
      <w:r>
        <w:rPr>
          <w:b/>
          <w:sz w:val="28"/>
          <w:szCs w:val="28"/>
        </w:rPr>
        <w:t xml:space="preserve">16. Assignment and successors</w:t>
      </w:r>
    </w:p>
    <w:p>
      <w:pPr>
        <w:keepNext/>
        <w:spacing w:before="200" w:after="80"/>
      </w:pPr>
      <w:r>
        <w:rPr>
          <w:rFonts w:ascii="Segoe UI Symbol" w:hAnsi="Segoe UI Symbol"/>
        </w:rPr>
        <w:t xml:space="preserve">☐  </w:t>
      </w:r>
      <w:r>
        <w:rPr>
          <w:b/>
        </w:rPr>
        <w:t xml:space="preserve">16.1  </w:t>
      </w:r>
      <w:r>
        <w:rPr>
          <w:b/>
        </w:rPr>
        <w:t xml:space="preserve">Assignment and successors</w:t>
      </w:r>
      <w:r>
        <w:t xml:space="preserve"> — Recommended (SHOULD)</w:t>
      </w:r>
    </w:p>
    <w:p>
      <w:pPr>
        <w:spacing w:before="0" w:after="120"/>
        <w:ind w:left="540"/>
      </w:pPr>
      <w:r>
        <w:t xml:space="preserve">Confirm employer-side assignability to successors and that the worker cannot assign. Pre-2025 Wyoming covenants give this clause extra freight: how a transaction restructures the agreement can bear on whether a grandfathered covenant keeps its pre-statute status.</w:t>
      </w:r>
    </w:p>
    <w:p>
      <w:pPr>
        <w:keepNext/>
        <w:spacing w:before="360" w:after="160"/>
      </w:pPr>
      <w:r>
        <w:rPr>
          <w:b/>
          <w:sz w:val="28"/>
          <w:szCs w:val="28"/>
        </w:rPr>
        <w:t xml:space="preserve">17. Governing law, venue, dispute process</w:t>
      </w:r>
    </w:p>
    <w:p>
      <w:pPr>
        <w:keepNext/>
        <w:spacing w:before="200" w:after="80"/>
      </w:pPr>
      <w:r>
        <w:rPr>
          <w:rFonts w:ascii="Segoe UI Symbol" w:hAnsi="Segoe UI Symbol"/>
        </w:rPr>
        <w:t xml:space="preserve">☐  </w:t>
      </w:r>
      <w:r>
        <w:rPr>
          <w:b/>
        </w:rPr>
        <w:t xml:space="preserve">17.1  </w:t>
      </w:r>
      <w:r>
        <w:rPr>
          <w:b/>
        </w:rPr>
        <w:t xml:space="preserve">Governing law and venue</w:t>
      </w:r>
      <w:r>
        <w:t xml:space="preserve"> — Recommended (SHOULD)</w:t>
      </w:r>
    </w:p>
    <w:p>
      <w:pPr>
        <w:spacing w:before="0" w:after="120"/>
        <w:ind w:left="540"/>
      </w:pPr>
      <w:r>
        <w:t xml:space="preserve">Governing law, venue, and process should point the same direction. Do not expect an out-of-state choice-of-law clause to rescue a covenant for a Wyoming-based worker: courts can refuse a chosen law that offends local public policy, as New York's highest court did with a Florida clause. </w:t>
      </w:r>
    </w:p>
    <w:p>
      <w:pPr>
        <w:keepNext/>
        <w:spacing w:before="360" w:after="160"/>
      </w:pPr>
      <w:r>
        <w:rPr>
          <w:b/>
          <w:sz w:val="28"/>
          <w:szCs w:val="28"/>
        </w:rPr>
        <w:t xml:space="preserve">18. Entire agreement, amendment, waiver, e-signatures</w:t>
      </w:r>
    </w:p>
    <w:p>
      <w:pPr>
        <w:keepNext/>
        <w:spacing w:before="200" w:after="80"/>
      </w:pPr>
      <w:r>
        <w:rPr>
          <w:rFonts w:ascii="Segoe UI Symbol" w:hAnsi="Segoe UI Symbol"/>
        </w:rPr>
        <w:t xml:space="preserve">☐  </w:t>
      </w:r>
      <w:r>
        <w:rPr>
          <w:b/>
        </w:rPr>
        <w:t xml:space="preserve">18.1  </w:t>
      </w:r>
      <w:r>
        <w:rPr>
          <w:b/>
        </w:rPr>
        <w:t xml:space="preserve">Entire agreement, amendments, e-signatures</w:t>
      </w:r>
      <w:r>
        <w:t xml:space="preserve"> — Recommended (SHOULD)</w:t>
      </w:r>
    </w:p>
    <w:p>
      <w:pPr>
        <w:spacing w:before="0" w:after="120"/>
        <w:ind w:left="540"/>
      </w:pPr>
      <w:r>
        <w:t xml:space="preserve">Boilerplate with a Wyoming twist: how changes get made matters. Replacing a pre-July-2025 agreement wholesale creates a new post-statute contract that may swap an enforceable covenant for a void one, while amending or renewing under the existing terms can preserve grandfathered status — so review the amendment mechanics with that trade in mind. </w:t>
      </w:r>
    </w:p>
    <w:p>
      <w:pPr>
        <w:keepNext/>
        <w:spacing w:before="360" w:after="160"/>
      </w:pPr>
      <w:r>
        <w:rPr>
          <w:b/>
          <w:sz w:val="28"/>
          <w:szCs w:val="28"/>
        </w:rPr>
        <w:t xml:space="preserve">19. Wyoming statutory gates (Wyo. Stat. § 1-23-108)</w:t>
      </w:r>
    </w:p>
    <w:p>
      <w:pPr>
        <w:spacing w:before="0" w:after="120"/>
      </w:pPr>
      <w:r>
        <w:t xml:space="preserve">The five items below exist only on this Wyoming page: they implement the 2025 statute's pathway gating and the case-law rules that have no analogue in the jurisdiction-neutral checklist.</w:t>
      </w:r>
    </w:p>
    <w:p>
      <w:pPr>
        <w:keepNext/>
        <w:spacing w:before="200" w:after="80"/>
      </w:pPr>
      <w:r>
        <w:rPr>
          <w:rFonts w:ascii="Segoe UI Symbol" w:hAnsi="Segoe UI Symbol"/>
        </w:rPr>
        <w:t xml:space="preserve">☐  </w:t>
      </w:r>
      <w:r>
        <w:rPr>
          <w:b/>
        </w:rPr>
        <w:t xml:space="preserve">19.1  </w:t>
      </w:r>
      <w:r>
        <w:rPr>
          <w:b/>
        </w:rPr>
        <w:t xml:space="preserve">Statutory pathway named</w:t>
      </w:r>
      <w:r>
        <w:t xml:space="preserve"> — Required (MUST)</w:t>
      </w:r>
    </w:p>
    <w:p>
      <w:pPr>
        <w:spacing w:before="0" w:after="120"/>
        <w:ind w:left="540"/>
      </w:pPr>
      <w:r>
        <w:t xml:space="preserve">Any non-compete entered into on or after July 1, 2025 must identify which of the four statutory pathways authorizes it: sale of a business, trade-secret protection, tenure-capped recovery of relocation, education, and training expense, or executive and management personnel and their professional staff. A covenant claiming no pathway is void, and a recital naming the pathway makes the gate reviewable on the face of the document instead of in litigation. </w:t>
      </w:r>
    </w:p>
    <w:p>
      <w:pPr>
        <w:keepNext/>
        <w:spacing w:before="200" w:after="80"/>
      </w:pPr>
      <w:r>
        <w:rPr>
          <w:rFonts w:ascii="Segoe UI Symbol" w:hAnsi="Segoe UI Symbol"/>
        </w:rPr>
        <w:t xml:space="preserve">☐  </w:t>
      </w:r>
      <w:r>
        <w:rPr>
          <w:b/>
        </w:rPr>
        <w:t xml:space="preserve">19.2  </w:t>
      </w:r>
      <w:r>
        <w:rPr>
          <w:b/>
        </w:rPr>
        <w:t xml:space="preserve">Training-repayment caps by tenure</w:t>
      </w:r>
      <w:r>
        <w:t xml:space="preserve"> — Required (MUST)</w:t>
      </w:r>
    </w:p>
    <w:p>
      <w:pPr>
        <w:spacing w:before="0" w:after="120"/>
        <w:ind w:left="540"/>
      </w:pPr>
      <w:r>
        <w:t xml:space="preserve">If the pathway is training-cost recovery, audit the schedule: up to 100 percent of documented expense below two years of service, 66 percent from two to three, 33 percent from three to four, and nothing at four or more. Recovery must tie to actual relocation, education, or training spend — a flat repayment untethered from documented cost reads as a penalty on competing rather than expense recovery. </w:t>
      </w:r>
    </w:p>
    <w:p>
      <w:pPr>
        <w:keepNext/>
        <w:spacing w:before="200" w:after="80"/>
      </w:pPr>
      <w:r>
        <w:rPr>
          <w:rFonts w:ascii="Segoe UI Symbol" w:hAnsi="Segoe UI Symbol"/>
        </w:rPr>
        <w:t xml:space="preserve">☐  </w:t>
      </w:r>
      <w:r>
        <w:rPr>
          <w:b/>
        </w:rPr>
        <w:t xml:space="preserve">19.3  </w:t>
      </w:r>
      <w:r>
        <w:rPr>
          <w:b/>
        </w:rPr>
        <w:t xml:space="preserve">Separate consideration for post-hire signing</w:t>
      </w:r>
      <w:r>
        <w:t xml:space="preserve"> — Required (MUST)</w:t>
      </w:r>
    </w:p>
    <w:p>
      <w:pPr>
        <w:spacing w:before="0" w:after="120"/>
        <w:ind w:left="540"/>
      </w:pPr>
      <w:r>
        <w:t xml:space="preserve">A covenant signed after the start date needs its own consideration — a bonus, equity grant, promotion, or other identifiable new value, recited in the agreement. Continued employment alone is not enough under Wyoming case law, and the defect makes the covenant unenforceable regardless of which statutory pathway it claims. </w:t>
      </w:r>
    </w:p>
    <w:p>
      <w:pPr>
        <w:keepNext/>
        <w:spacing w:before="200" w:after="80"/>
      </w:pPr>
      <w:r>
        <w:rPr>
          <w:rFonts w:ascii="Segoe UI Symbol" w:hAnsi="Segoe UI Symbol"/>
        </w:rPr>
        <w:t xml:space="preserve">☐  </w:t>
      </w:r>
      <w:r>
        <w:rPr>
          <w:b/>
        </w:rPr>
        <w:t xml:space="preserve">19.4  </w:t>
      </w:r>
      <w:r>
        <w:rPr>
          <w:b/>
        </w:rPr>
        <w:t xml:space="preserve">No physician non-compete</w:t>
      </w:r>
      <w:r>
        <w:t xml:space="preserve"> — Prohibited (MUST NOT)</w:t>
      </w:r>
    </w:p>
    <w:p>
      <w:pPr>
        <w:spacing w:before="0" w:after="120"/>
        <w:ind w:left="540"/>
      </w:pPr>
      <w:r>
        <w:t xml:space="preserve">The agreement must not impose a non-compete on a physician. The statute voids practice restraints in agreements between physicians, and because the carve-out's reach beyond physician-owned practices is unresolved — and an overbroad guess cannot be judicially repaired in Wyoming — the defensible posture is to omit the restraint for every physician and recite the rare-disorder patient-contact right instead. </w:t>
      </w:r>
    </w:p>
    <w:p>
      <w:pPr>
        <w:keepNext/>
        <w:spacing w:before="200" w:after="80"/>
      </w:pPr>
      <w:r>
        <w:rPr>
          <w:rFonts w:ascii="Segoe UI Symbol" w:hAnsi="Segoe UI Symbol"/>
        </w:rPr>
        <w:t xml:space="preserve">☐  </w:t>
      </w:r>
      <w:r>
        <w:rPr>
          <w:b/>
        </w:rPr>
        <w:t xml:space="preserve">19.5  </w:t>
      </w:r>
      <w:r>
        <w:rPr>
          <w:b/>
        </w:rPr>
        <w:t xml:space="preserve">Non-solicits limited to actual contacts</w:t>
      </w:r>
      <w:r>
        <w:t xml:space="preserve"> — Avoid (SHOULD NOT)</w:t>
      </w:r>
    </w:p>
    <w:p>
      <w:pPr>
        <w:spacing w:before="0" w:after="120"/>
        <w:ind w:left="540"/>
      </w:pPr>
      <w:r>
        <w:t xml:space="preserve">Non-solicits and non-dealing clauses should not reach beyond people the worker actually dealt with: not every customer of the company, not every employee, and not business the worker never touched. Breadth is what converts these clauses into covenant-not-to-compete equivalents subject to the statute's voidability rules. </w:t>
      </w:r>
    </w:p>
    <w:p>
      <w:pPr>
        <w:spacing w:before="360" w:after="0"/>
      </w:pPr>
      <w:r>
        <w:rPr>
          <w:color w:val="666666"/>
          <w:sz w:val="16"/>
          <w:szCs w:val="16"/>
        </w:rPr>
        <w:t xml:space="preserve">Steven Obiajulu, J.D. edits this review checklist for Wyoming (US) coverage. It synthesizes legal sources and is not legal advice. This article is for informational purposes only and does not create an attorney-client relationship.</w:t>
      </w:r>
    </w:p>
    <w:sectPr>
      <w:pgSz w:w="12240" w:h="15840"/>
      <w:pgMar w:top="1440" w:right="1440" w:bottom="1440" w:left="1440"/>
    </w:sectPr>
  </w:body>
</w:document>
</file>

<file path=word/styles.xml><?xml version="1.0" encoding="utf-8"?>
<w:styles xmlns:w="http://schemas.openxmlformats.org/wordprocessingml/2006/main">
  <w:docDefaults>
    <w:rPrDefault>
      <w:rPr>
        <w:rFonts w:ascii="Calibri" w:hAnsi="Calibri"/>
        <w:sz w:val="22"/>
        <w:szCs w:val="22"/>
      </w:rPr>
    </w:rPrDefault>
    <w:pPrDefault>
      <w:pPr>
        <w:spacing w:after="120" w:line="276" w:lineRule="auto"/>
      </w:pPr>
    </w:pPrDefault>
  </w:docDefaults>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