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 xml:space="preserve">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 xml:space="preserve">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 xml:space="preserve">[Effective Date of the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[Name of the Provider]</w:t>
            </w:r>
            <w:r>
              <w:rPr>
                <w:rFonts w:ascii="Arial" w:eastAsia="Arial" w:hAnsi="Arial" w:cs="Arial"/>
                <w:sz w:val="16"/>
                <w:szCs w:val="16"/>
              </w:rPr>
              <w:t xml:space="preserve"> and </w:t>
            </w:r>
            <w:r>
              <w:rPr>
                <w:rFonts w:ascii="Arial" w:eastAsia="Arial" w:hAnsi="Arial" w:cs="Arial"/>
                <w:sz w:val="16"/>
                <w:szCs w:val="16"/>
                <w:highlight w:val="yellow"/>
              </w:rPr>
              <w:t xml:space="preserve">[Name of the Customer]</w:t>
            </w:r>
            <w:r>
              <w:rPr>
                <w:rFonts w:ascii="Arial" w:eastAsia="Arial" w:hAnsi="Arial" w:cs="Arial"/>
                <w:sz w:val="16"/>
                <w:szCs w:val="16"/>
              </w:rPr>
              <w:t xml:space="preserve">.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 xml:space="preserve">[Description of the cloud service]</w:t>
            </w:r>
            <w:r>
              <w:rPr>
                <w:rFonts w:ascii="Arial" w:eastAsia="Arial" w:hAnsi="Arial" w:cs="Arial"/>
                <w:color w:val="000000"/>
                <w:sz w:val="16"/>
                <w:szCs w:val="16"/>
              </w:rPr>
              <w:t xml:space="preserve">.</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 xml:space="preserve">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 xml:space="preserve">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466546" w14:textId="77777777" w:rsidR="000D1CDA" w:rsidRDefault="000D1CDA" w:rsidP="000D1CD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 xml:space="preserve">[Length of pilot/trial period]</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 xml:space="preserve">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 xml:space="preserve">Subscription Period</w:t>
            </w:r>
            <w:r>
              <w:rPr>
                <w:rFonts w:ascii="Arial" w:eastAsia="Arial" w:hAnsi="Arial" w:cs="Arial"/>
                <w:color w:val="000000"/>
                <w:sz w:val="16"/>
                <w:szCs w:val="16"/>
              </w:rPr>
              <w:t xml:space="preserve"> will automatically start following the Pilot Period.</w:t>
            </w:r>
          </w:p>
          <w:p w14:paraId="1DB7141D" w14:textId="2C463A30" w:rsidR="008C08BD" w:rsidRDefault="00CA472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 xml:space="preserve">[Subscription fee amount]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[Length of access to the service]</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[Subscription fee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 xml:space="preserve">[Custom fee structure description (used with fee_is_other)]</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may increase</w:t>
            </w:r>
            <w:r w:rsidR="001D779D">
              <w:rPr>
                <w:rFonts w:ascii="Arial" w:eastAsia="Arial" w:hAnsi="Arial" w:cs="Arial"/>
                <w:color w:val="000000"/>
                <w:sz w:val="16"/>
                <w:szCs w:val="16"/>
              </w:rPr>
              <w:t xml:space="preserve"> </w:t>
            </w:r>
            <w:r>
              <w:rPr>
                <w:rFonts w:ascii="Arial" w:eastAsia="Arial" w:hAnsi="Arial" w:cs="Arial"/>
                <w:color w:val="000000"/>
                <w:sz w:val="16"/>
                <w:szCs w:val="16"/>
              </w:rPr>
              <w:t xml:space="preserve">up to </w:t>
            </w:r>
            <w:r>
              <w:rPr>
                <w:rFonts w:ascii="Arial" w:eastAsia="Arial" w:hAnsi="Arial" w:cs="Arial"/>
                <w:color w:val="000000"/>
                <w:sz w:val="16"/>
                <w:szCs w:val="16"/>
                <w:highlight w:val="yellow"/>
              </w:rPr>
              <w:t xml:space="preserve">[Maximum fee increase percentage per renewal (used with fee_may_increase)]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w:t>
            </w:r>
            <w:r>
              <w:rPr>
                <w:rFonts w:ascii="Arial" w:eastAsia="Arial" w:hAnsi="Arial" w:cs="Arial"/>
                <w:color w:val="000000"/>
                <w:sz w:val="16"/>
                <w:szCs w:val="16"/>
              </w:rPr>
              <w:t xml:space="preserve">will increase </w:t>
            </w:r>
            <w:r>
              <w:rPr>
                <w:rFonts w:ascii="Arial" w:eastAsia="Arial" w:hAnsi="Arial" w:cs="Arial"/>
                <w:color w:val="000000"/>
                <w:sz w:val="16"/>
                <w:szCs w:val="16"/>
                <w:highlight w:val="yellow"/>
              </w:rPr>
              <w:t xml:space="preserve">[Fee increase percentage per renewal (used with fee_will_increase)]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4</w:t>
            </w:r>
            <w:r>
              <w:rPr>
                <w:rFonts w:ascii="Arial" w:eastAsia="Arial" w:hAnsi="Arial" w:cs="Arial"/>
                <w:color w:val="000000"/>
                <w:sz w:val="16"/>
                <w:szCs w:val="16"/>
              </w:rPr>
              <w:t xml:space="preserve">.1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xml:space="preserve">,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Pay by invoice</w:t>
            </w: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w:t>
            </w: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will pay each invoice within </w:t>
            </w:r>
            <w:proofErr w:type="gramStart"/>
            <w:r>
              <w:rPr>
                <w:rFonts w:ascii="Arial" w:eastAsia="Arial" w:hAnsi="Arial" w:cs="Arial"/>
                <w:color w:val="000000"/>
                <w:sz w:val="16"/>
                <w:szCs w:val="16"/>
                <w:highlight w:val="yellow"/>
              </w:rPr>
              <w:t xml:space="preserve">[Days to pay after invoice]</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 xml:space="preserve">[When payment terms start]</w:t>
            </w:r>
            <w:r>
              <w:rPr>
                <w:rFonts w:ascii="Arial" w:eastAsia="Arial" w:hAnsi="Arial" w:cs="Arial"/>
                <w:color w:val="000000"/>
                <w:sz w:val="16"/>
                <w:szCs w:val="16"/>
              </w:rPr>
              <w:t xml:space="preserve">. </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 xml:space="preserve">Subscription Period</w:t>
            </w:r>
            <w:r>
              <w:rPr>
                <w:rFonts w:ascii="Arial" w:eastAsia="Arial" w:hAnsi="Arial" w:cs="Arial"/>
                <w:color w:val="000000"/>
                <w:sz w:val="16"/>
                <w:szCs w:val="16"/>
              </w:rPr>
              <w:t xml:space="preserve">.</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[Description of use limitations or prohibited uses of the Cloud Service]</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Additions and Modifications</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D047BA" w14:textId="764BEB73" w:rsidR="002662F8" w:rsidRDefault="002662F8" w:rsidP="002662F8">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[Service level terms describing uptime commitments, remedies for SLA breaches, and refund policies]</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 xml:space="preserve">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[SOW or PSA reference]</w:t>
            </w:r>
            <w:r>
              <w:rPr>
                <w:rFonts w:ascii="Arial" w:eastAsia="Arial" w:hAnsi="Arial" w:cs="Arial"/>
                <w:color w:val="000000"/>
                <w:sz w:val="16"/>
                <w:szCs w:val="16"/>
              </w:rPr>
              <w:t xml:space="preserve">.</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 xml:space="preserve">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[Professional services description]</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 xml:space="preserve">Payment Process</w:t>
            </w:r>
            <w:r>
              <w:rPr>
                <w:rFonts w:ascii="Arial" w:eastAsia="Arial" w:hAnsi="Arial" w:cs="Arial"/>
                <w:color w:val="000000"/>
                <w:sz w:val="16"/>
                <w:szCs w:val="16"/>
              </w:rPr>
              <w:t xml:space="preserve"> for these services: </w:t>
            </w:r>
            <w:r>
              <w:rPr>
                <w:rFonts w:ascii="Arial" w:eastAsia="Arial" w:hAnsi="Arial" w:cs="Arial"/>
                <w:color w:val="000000"/>
                <w:sz w:val="16"/>
                <w:szCs w:val="16"/>
                <w:highlight w:val="yellow"/>
              </w:rPr>
              <w:t xml:space="preserve">[How professional services fees will be billed]</w:t>
            </w: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 xml:space="preserve">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to allow the performance o</w:t>
            </w:r>
            <w:r>
              <w:rPr>
                <w:rFonts w:ascii="Arial" w:eastAsia="Arial" w:hAnsi="Arial" w:cs="Arial"/>
                <w:sz w:val="16"/>
                <w:szCs w:val="16"/>
              </w:rPr>
              <w:t xml:space="preserve">f the services</w:t>
            </w:r>
            <w:r w:rsidR="001D779D">
              <w:rPr>
                <w:rFonts w:ascii="Arial" w:eastAsia="Arial" w:hAnsi="Arial" w:cs="Arial"/>
                <w:sz w:val="16"/>
                <w:szCs w:val="16"/>
              </w:rPr>
              <w:t xml:space="preserve"> described above</w:t>
            </w:r>
            <w:r>
              <w:rPr>
                <w:rFonts w:ascii="Arial" w:eastAsia="Arial" w:hAnsi="Arial" w:cs="Arial"/>
                <w:sz w:val="16"/>
                <w:szCs w:val="16"/>
              </w:rPr>
              <w:t xml:space="preserve">,</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 xml:space="preserve">se services</w:t>
            </w:r>
            <w:r w:rsidRPr="00AA6417">
              <w:rPr>
                <w:rFonts w:ascii="Arial" w:eastAsia="Arial" w:hAnsi="Arial" w:cs="Arial"/>
                <w:sz w:val="16"/>
                <w:szCs w:val="16"/>
              </w:rPr>
              <w:t xml:space="preserve"> if </w:t>
            </w:r>
            <w:r w:rsidRPr="00AA6417">
              <w:rPr>
                <w:rFonts w:ascii="Arial" w:eastAsia="Arial" w:hAnsi="Arial" w:cs="Arial"/>
                <w:b/>
                <w:sz w:val="16"/>
                <w:szCs w:val="16"/>
              </w:rPr>
              <w:t xml:space="preserve">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F38AB">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 xml:space="preserve">THE FRAMEWORK TERMS</w:t>
            </w:r>
          </w:p>
          <w:p w14:paraId="00000064" w14:textId="76B7F437"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 xml:space="preserve">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F8123A">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12">
              <w:r w:rsidR="00F8123A">
                <w:rPr>
                  <w:rFonts w:ascii="Arial" w:eastAsia="Arial" w:hAnsi="Arial" w:cs="Arial"/>
                  <w:color w:val="326F84"/>
                  <w:sz w:val="16"/>
                  <w:szCs w:val="16"/>
                  <w:u w:val="single"/>
                </w:rPr>
                <w:t xml:space="preserve">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 xml:space="preserve">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 xml:space="preserve">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 xml:space="preserve">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Effective Date</w:t>
            </w:r>
          </w:p>
          <w:p w14:paraId="0000006A" w14:textId="2755C94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D72E76">
              <w:rPr>
                <w:rFonts w:ascii="Arial" w:eastAsia="Arial" w:hAnsi="Arial" w:cs="Arial"/>
                <w:b/>
                <w:color w:val="8C8D8E"/>
                <w:sz w:val="14"/>
                <w:szCs w:val="14"/>
              </w:rPr>
              <w:t xml:space="preserve">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 xml:space="preserve">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 xml:space="preserve">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7D3E84" w14:textId="77777777" w:rsidR="00E44876" w:rsidRDefault="00E44876">
            <w:pPr>
              <w:spacing w:line="276" w:lineRule="auto"/>
              <w:ind w:left="519" w:hanging="519"/>
              <w:rPr>
                <w:rFonts w:ascii="Arial" w:eastAsia="Arial" w:hAnsi="Arial" w:cs="Arial"/>
                <w:color w:val="000000"/>
                <w:sz w:val="16"/>
                <w:szCs w:val="16"/>
              </w:rPr>
            </w:pP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Increased Claim category]</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19AE55" w14:textId="77777777" w:rsidR="00E44876" w:rsidRDefault="00E44876">
            <w:pPr>
              <w:spacing w:line="276" w:lineRule="auto"/>
              <w:ind w:left="519" w:hanging="519"/>
              <w:rPr>
                <w:rFonts w:ascii="Arial" w:eastAsia="Arial" w:hAnsi="Arial" w:cs="Arial"/>
                <w:color w:val="000000"/>
                <w:sz w:val="16"/>
                <w:szCs w:val="16"/>
              </w:rPr>
            </w:pP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Unlimited Claim category]</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Provider]</w:t>
            </w: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Customer]</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 xml:space="preserve">Supplements</w:t>
            </w:r>
            <w:r w:rsidR="001F6623">
              <w:rPr>
                <w:rFonts w:ascii="Arial" w:eastAsia="Arial" w:hAnsi="Arial" w:cs="Arial"/>
                <w:b/>
                <w:color w:val="8C8D8E"/>
                <w:sz w:val="18"/>
                <w:szCs w:val="18"/>
              </w:rPr>
              <w:t xml:space="preserve"> &amp; Modifications</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 xml:space="preserve">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[Reference to support policy]</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 xml:space="preserve">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 xml:space="preserve">[DPA reference]</w:t>
            </w:r>
            <w:r w:rsidRPr="00DE35EB">
              <w:rPr>
                <w:rFonts w:ascii="Arial" w:eastAsia="Arial" w:hAnsi="Arial" w:cs="Arial"/>
                <w:color w:val="000000"/>
                <w:sz w:val="16"/>
                <w:szCs w:val="16"/>
              </w:rPr>
              <w:t xml:space="preserve">.</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[Name of additional security certification (e.g. "ISO 27701")]</w:t>
                  </w:r>
                </w:p>
              </w:tc>
            </w:tr>
          </w:tbl>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 xml:space="preserve">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7D497AF4"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 xml:space="preserve">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 xml:space="preserve">Insurance Minimums</w:t>
            </w:r>
            <w:r>
              <w:rPr>
                <w:rFonts w:ascii="Arial" w:eastAsia="Arial" w:hAnsi="Arial" w:cs="Arial"/>
                <w:b/>
                <w:sz w:val="16"/>
                <w:szCs w:val="16"/>
              </w:rPr>
              <w:t xml:space="preserve"> </w:t>
            </w:r>
            <w:r>
              <w:rPr>
                <w:rFonts w:ascii="Arial" w:eastAsia="Arial" w:hAnsi="Arial" w:cs="Arial"/>
                <w:bCs/>
                <w:sz w:val="16"/>
                <w:szCs w:val="16"/>
              </w:rPr>
              <w:t xml:space="preserve">below</w:t>
            </w:r>
            <w:r w:rsidR="005F0B4A">
              <w:rPr>
                <w:rFonts w:ascii="Arial" w:eastAsia="Arial" w:hAnsi="Arial" w:cs="Arial"/>
                <w:sz w:val="16"/>
                <w:szCs w:val="16"/>
              </w:rPr>
              <w:t xml:space="preserve">:</w:t>
            </w: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or employers' liability insurance as required by Applicable Law</w:t>
            </w:r>
            <w:r w:rsidR="00667F7B">
              <w:rPr>
                <w:rFonts w:ascii="Arial" w:eastAsia="Arial" w:hAnsi="Arial" w:cs="Arial"/>
                <w:color w:val="000000"/>
                <w:sz w:val="16"/>
                <w:szCs w:val="16"/>
              </w:rPr>
              <w:t xml:space="preserve">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99AA338" w14:textId="77777777" w:rsidR="005F0B4A" w:rsidRDefault="005F0B4A" w:rsidP="005F0B4A">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give </w:t>
            </w:r>
            <w:r w:rsidRPr="00631FBD">
              <w:rPr>
                <w:rFonts w:ascii="Arial" w:eastAsia="Arial" w:hAnsi="Arial" w:cs="Arial"/>
                <w:b/>
                <w:sz w:val="16"/>
                <w:szCs w:val="16"/>
              </w:rPr>
              <w:t xml:space="preserve">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 xml:space="preserve">Insurance Minimums</w:t>
            </w:r>
            <w:r w:rsidRPr="00631FBD">
              <w:rPr>
                <w:rFonts w:ascii="Arial" w:eastAsia="Arial" w:hAnsi="Arial" w:cs="Arial"/>
                <w:sz w:val="16"/>
                <w:szCs w:val="16"/>
              </w:rPr>
              <w:t xml:space="preserve">.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liability.</w:t>
            </w: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 xml:space="preserve">Provider</w:t>
      </w:r>
      <w:r>
        <w:rPr>
          <w:rFonts w:ascii="Arial" w:eastAsia="Arial" w:hAnsi="Arial" w:cs="Arial"/>
          <w:sz w:val="18"/>
          <w:szCs w:val="18"/>
        </w:rPr>
        <w:t xml:space="preserve"> and </w:t>
      </w:r>
      <w:r>
        <w:rPr>
          <w:rFonts w:ascii="Arial" w:eastAsia="Arial" w:hAnsi="Arial" w:cs="Arial"/>
          <w:b/>
          <w:sz w:val="18"/>
          <w:szCs w:val="18"/>
        </w:rPr>
        <w:t xml:space="preserve">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8F38AB">
          <w:headerReference w:type="default" r:id="rId13"/>
          <w:headerReference w:type="first" r:id="rId14"/>
          <w:footerReference w:type="first" r:id="rId15"/>
          <w:pgSz w:w="12240" w:h="15840"/>
          <w:pgMar w:top="936" w:right="1080" w:bottom="720" w:left="1080" w:header="360" w:footer="432" w:gutter="0"/>
          <w:pgNumType w:start="1"/>
          <w:cols w:space="720"/>
        </w:sectPr>
      </w:pPr>
    </w:p>
    <w:p w14:paraId="000000DA" w14:textId="7777777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 xml:space="preserve">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Access and Use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Service; and </w:t>
      </w:r>
      <w:r>
        <w:rPr>
          <w:rFonts w:ascii="Arial" w:eastAsia="Arial" w:hAnsi="Arial" w:cs="Arial"/>
          <w:color w:val="000000"/>
          <w:sz w:val="16"/>
          <w:szCs w:val="16"/>
        </w:rPr>
        <w:t xml:space="preserve">(b) </w:t>
      </w:r>
      <w:r>
        <w:rPr>
          <w:rFonts w:ascii="Arial" w:eastAsia="Arial" w:hAnsi="Arial" w:cs="Arial"/>
          <w:sz w:val="16"/>
          <w:szCs w:val="16"/>
        </w:rPr>
        <w:t xml:space="preserve">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 xml:space="preserve">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 xml:space="preserve">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 xml:space="preserve">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 xml:space="preserve">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Support</w:t>
      </w:r>
      <w:r>
        <w:rPr>
          <w:rFonts w:ascii="Arial" w:eastAsia="Arial" w:hAnsi="Arial" w:cs="Arial"/>
          <w:sz w:val="16"/>
          <w:szCs w:val="16"/>
        </w:rPr>
        <w:t xml:space="preserve">.</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 xml:space="preserve">Technical</w:t>
      </w:r>
      <w:r>
        <w:rPr>
          <w:rFonts w:ascii="Arial" w:eastAsia="Arial" w:hAnsi="Arial" w:cs="Arial"/>
          <w:color w:val="0432FF"/>
          <w:sz w:val="16"/>
          <w:szCs w:val="16"/>
        </w:rPr>
        <w:t xml:space="preserve"> </w:t>
      </w:r>
      <w:r>
        <w:rPr>
          <w:rFonts w:ascii="Arial" w:eastAsia="Arial" w:hAnsi="Arial" w:cs="Arial"/>
          <w:b/>
          <w:color w:val="117086"/>
          <w:sz w:val="16"/>
          <w:szCs w:val="16"/>
        </w:rPr>
        <w:t xml:space="preserve">Support</w:t>
      </w:r>
      <w:r>
        <w:rPr>
          <w:rFonts w:ascii="Arial" w:eastAsia="Arial" w:hAnsi="Arial" w:cs="Arial"/>
          <w:b/>
          <w:color w:val="0432FF"/>
          <w:sz w:val="16"/>
          <w:szCs w:val="16"/>
        </w:rPr>
        <w:t xml:space="preserve"> </w:t>
      </w:r>
      <w:r>
        <w:rPr>
          <w:rFonts w:ascii="Arial" w:eastAsia="Arial" w:hAnsi="Arial" w:cs="Arial"/>
          <w:sz w:val="16"/>
          <w:szCs w:val="16"/>
        </w:rPr>
        <w:t xml:space="preserve">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 xml:space="preserve">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 xml:space="preserve">Customer Content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 xml:space="preserve">Machine Learning</w:t>
      </w:r>
      <w:r w:rsidRPr="00FA770A">
        <w:rPr>
          <w:rFonts w:ascii="Arial" w:eastAsia="Arial" w:hAnsi="Arial" w:cs="Arial"/>
          <w:sz w:val="16"/>
          <w:szCs w:val="16"/>
        </w:rPr>
        <w:t xml:space="preserve">. </w:t>
      </w:r>
      <w:r w:rsidR="00ED4F13">
        <w:rPr>
          <w:rFonts w:ascii="Arial" w:eastAsia="Arial" w:hAnsi="Arial" w:cs="Arial"/>
          <w:sz w:val="16"/>
          <w:szCs w:val="16"/>
        </w:rPr>
        <w:t xml:space="preserve">Usage Data and Customer Content may be used to develop, train, or enhance artificial intelligen</w:t>
      </w:r>
      <w:r w:rsidR="0077139B">
        <w:rPr>
          <w:rFonts w:ascii="Arial" w:eastAsia="Arial" w:hAnsi="Arial" w:cs="Arial"/>
          <w:sz w:val="16"/>
          <w:szCs w:val="16"/>
        </w:rPr>
        <w:t xml:space="preserve">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 xml:space="preserve">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 xml:space="preserve">-</w:t>
      </w:r>
      <w:r w:rsidR="00ED4F13">
        <w:rPr>
          <w:rFonts w:ascii="Arial" w:eastAsia="Arial" w:hAnsi="Arial" w:cs="Arial"/>
          <w:sz w:val="16"/>
          <w:szCs w:val="16"/>
        </w:rPr>
        <w:t xml:space="preserve">party components </w:t>
      </w:r>
      <w:r w:rsidR="00B604E4">
        <w:rPr>
          <w:rFonts w:ascii="Arial" w:eastAsia="Arial" w:hAnsi="Arial" w:cs="Arial"/>
          <w:sz w:val="16"/>
          <w:szCs w:val="16"/>
        </w:rPr>
        <w:t xml:space="preserve">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 xml:space="preserve">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 xml:space="preserve">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 xml:space="preserve">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 xml:space="preserve">be aggregated</w:t>
      </w:r>
      <w:r w:rsidR="00501EA0">
        <w:rPr>
          <w:rFonts w:ascii="Arial" w:eastAsia="Arial" w:hAnsi="Arial" w:cs="Arial"/>
          <w:sz w:val="16"/>
          <w:szCs w:val="16"/>
        </w:rPr>
        <w:t xml:space="preserve"> before </w:t>
      </w:r>
      <w:r w:rsidR="005E17B0">
        <w:rPr>
          <w:rFonts w:ascii="Arial" w:eastAsia="Arial" w:hAnsi="Arial" w:cs="Arial"/>
          <w:sz w:val="16"/>
          <w:szCs w:val="16"/>
        </w:rPr>
        <w:t xml:space="preserve">it can be used for these purposes</w:t>
      </w:r>
      <w:r w:rsidR="00123D72">
        <w:rPr>
          <w:rFonts w:ascii="Arial" w:eastAsia="Arial" w:hAnsi="Arial" w:cs="Arial"/>
          <w:sz w:val="16"/>
          <w:szCs w:val="16"/>
        </w:rPr>
        <w:t xml:space="preserve">,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 xml:space="preserve">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 xml:space="preserve">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xml:space="preserve">.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 xml:space="preserve">Provider's</w:t>
      </w:r>
      <w:r w:rsidR="00123D72">
        <w:rPr>
          <w:rFonts w:ascii="Arial" w:eastAsia="Arial" w:hAnsi="Arial" w:cs="Arial"/>
          <w:sz w:val="16"/>
          <w:szCs w:val="16"/>
        </w:rPr>
        <w:t xml:space="preserve"> obligations </w:t>
      </w:r>
      <w:r w:rsidR="00674AC9">
        <w:rPr>
          <w:rFonts w:ascii="Arial" w:eastAsia="Arial" w:hAnsi="Arial" w:cs="Arial"/>
          <w:sz w:val="16"/>
          <w:szCs w:val="16"/>
        </w:rPr>
        <w:t xml:space="preserve">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 xml:space="preserve">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 xml:space="preserve">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 xml:space="preserve">Use Limitations</w:t>
      </w:r>
      <w:r>
        <w:rPr>
          <w:rFonts w:ascii="Arial" w:eastAsia="Arial" w:hAnsi="Arial" w:cs="Arial"/>
          <w:sz w:val="16"/>
          <w:szCs w:val="16"/>
        </w:rPr>
        <w:t xml:space="preserve">.</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Suspension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Personal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Before submitting Personal Data governed by GDPR,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 xml:space="preserve">Provider</w:t>
      </w:r>
      <w:r>
        <w:rPr>
          <w:rFonts w:ascii="Arial" w:eastAsia="Arial" w:hAnsi="Arial" w:cs="Arial"/>
          <w:sz w:val="16"/>
          <w:szCs w:val="16"/>
        </w:rPr>
        <w:t xml:space="preserve">. 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w:t>
      </w:r>
      <w:r>
        <w:rPr>
          <w:rFonts w:ascii="Arial" w:eastAsia="Arial" w:hAnsi="Arial" w:cs="Arial"/>
          <w:color w:val="0432FF"/>
          <w:sz w:val="16"/>
          <w:szCs w:val="16"/>
        </w:rPr>
        <w:t xml:space="preserv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Prohibited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Invoicing</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 xml:space="preserve">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 xml:space="preserve">Payment Process</w:t>
      </w:r>
      <w:r>
        <w:rPr>
          <w:rFonts w:ascii="Arial" w:eastAsia="Arial" w:hAnsi="Arial" w:cs="Arial"/>
          <w:sz w:val="16"/>
          <w:szCs w:val="16"/>
        </w:rPr>
        <w:t xml:space="preserve">. </w:t>
      </w:r>
    </w:p>
    <w:p w14:paraId="000000F0" w14:textId="472749E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A222BC">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A222BC">
        <w:rPr>
          <w:rFonts w:ascii="Arial" w:eastAsia="Arial" w:hAnsi="Arial" w:cs="Arial"/>
          <w:sz w:val="16"/>
          <w:szCs w:val="16"/>
        </w:rPr>
        <w:t xml:space="preserve">payment</w:t>
      </w:r>
      <w:r>
        <w:rPr>
          <w:rFonts w:ascii="Arial" w:eastAsia="Arial" w:hAnsi="Arial" w:cs="Arial"/>
          <w:sz w:val="16"/>
          <w:szCs w:val="16"/>
        </w:rPr>
        <w:t xml:space="preserve">, </w:t>
      </w:r>
      <w:r w:rsidRPr="00561454">
        <w:rPr>
          <w:rFonts w:ascii="Arial" w:eastAsia="Arial" w:hAnsi="Arial" w:cs="Arial"/>
          <w:b/>
          <w:color w:val="117086"/>
          <w:sz w:val="16"/>
          <w:szCs w:val="16"/>
        </w:rPr>
        <w:t xml:space="preserve">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 xml:space="preserve">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 xml:space="preserve">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 xml:space="preserve">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 xml:space="preserve">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 xml:space="preserve">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 xml:space="preserve">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 xml:space="preserve">Customer</w:t>
      </w:r>
      <w:r w:rsidR="003957C7">
        <w:rPr>
          <w:rFonts w:ascii="Arial" w:eastAsia="Arial" w:hAnsi="Arial" w:cs="Arial"/>
          <w:sz w:val="16"/>
          <w:szCs w:val="16"/>
        </w:rPr>
        <w:t xml:space="preserve">.</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w:t>
      </w:r>
      <w:r>
        <w:rPr>
          <w:rFonts w:ascii="Arial" w:eastAsia="Arial" w:hAnsi="Arial" w:cs="Arial"/>
          <w:sz w:val="16"/>
          <w:szCs w:val="16"/>
        </w:rPr>
        <w:lastRenderedPageBreak/>
        <w:t xml:space="preserve">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Order Form and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each Order Form, the Agreement will start on the </w:t>
      </w:r>
      <w:r>
        <w:rPr>
          <w:rFonts w:ascii="Arial" w:eastAsia="Arial" w:hAnsi="Arial" w:cs="Arial"/>
          <w:b/>
          <w:color w:val="117086"/>
          <w:sz w:val="16"/>
          <w:szCs w:val="16"/>
        </w:rPr>
        <w:t xml:space="preserve">Order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continue through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 xml:space="preserve">Non-Renewal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Framework Terms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These Framework Terms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 xml:space="preserve">notice</w:t>
      </w:r>
      <w:proofErr w:type="spellEnd"/>
      <w:r>
        <w:rPr>
          <w:rFonts w:ascii="Arial" w:eastAsia="Arial" w:hAnsi="Arial" w:cs="Arial"/>
          <w:sz w:val="16"/>
          <w:szCs w:val="16"/>
        </w:rPr>
        <w:t xml:space="preserv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 xml:space="preserve">Provider</w:t>
      </w:r>
      <w:r>
        <w:rPr>
          <w:rFonts w:ascii="Arial" w:eastAsia="Arial" w:hAnsi="Arial" w:cs="Arial"/>
          <w:sz w:val="16"/>
          <w:szCs w:val="16"/>
        </w:rPr>
        <w:t xml:space="preserve"> will pay to </w:t>
      </w:r>
      <w:r>
        <w:rPr>
          <w:rFonts w:ascii="Arial" w:eastAsia="Arial" w:hAnsi="Arial" w:cs="Arial"/>
          <w:b/>
          <w:color w:val="117086"/>
          <w:sz w:val="16"/>
          <w:szCs w:val="16"/>
        </w:rPr>
        <w:t xml:space="preserve">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 xml:space="preserve">Subscription</w:t>
      </w:r>
      <w:r>
        <w:rPr>
          <w:rFonts w:ascii="Arial" w:eastAsia="Arial" w:hAnsi="Arial" w:cs="Arial"/>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 xml:space="preserve">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 xml:space="preserve">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Section 1.</w:t>
      </w:r>
      <w:r w:rsidR="004F61A5">
        <w:rPr>
          <w:rFonts w:ascii="Arial" w:eastAsia="Arial" w:hAnsi="Arial" w:cs="Arial"/>
          <w:sz w:val="16"/>
          <w:szCs w:val="16"/>
        </w:rPr>
        <w:t xml:space="preserve">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 xml:space="preserve">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 xml:space="preserve">5.5</w:t>
      </w:r>
      <w:r>
        <w:rPr>
          <w:rFonts w:ascii="Arial" w:eastAsia="Arial" w:hAnsi="Arial" w:cs="Arial"/>
          <w:sz w:val="16"/>
          <w:szCs w:val="16"/>
        </w:rPr>
        <w:t xml:space="preserve"> (Effect of Termination), Section </w:t>
      </w:r>
      <w:r w:rsidR="004F61A5">
        <w:rPr>
          <w:rFonts w:ascii="Arial" w:eastAsia="Arial" w:hAnsi="Arial" w:cs="Arial"/>
          <w:sz w:val="16"/>
          <w:szCs w:val="16"/>
        </w:rPr>
        <w:t xml:space="preserve">5.6</w:t>
      </w:r>
      <w:r>
        <w:rPr>
          <w:rFonts w:ascii="Arial" w:eastAsia="Arial" w:hAnsi="Arial" w:cs="Arial"/>
          <w:sz w:val="16"/>
          <w:szCs w:val="16"/>
        </w:rPr>
        <w:t xml:space="preserve"> (Survival), Section </w:t>
      </w:r>
      <w:r w:rsidR="004F61A5">
        <w:rPr>
          <w:rFonts w:ascii="Arial" w:eastAsia="Arial" w:hAnsi="Arial" w:cs="Arial"/>
          <w:sz w:val="16"/>
          <w:szCs w:val="16"/>
        </w:rPr>
        <w:t xml:space="preserve">6</w:t>
      </w:r>
      <w:r>
        <w:rPr>
          <w:rFonts w:ascii="Arial" w:eastAsia="Arial" w:hAnsi="Arial" w:cs="Arial"/>
          <w:sz w:val="16"/>
          <w:szCs w:val="16"/>
        </w:rPr>
        <w:t xml:space="preserve"> (Representations &amp; Warranties), Section </w:t>
      </w:r>
      <w:r w:rsidR="004F61A5">
        <w:rPr>
          <w:rFonts w:ascii="Arial" w:eastAsia="Arial" w:hAnsi="Arial" w:cs="Arial"/>
          <w:sz w:val="16"/>
          <w:szCs w:val="16"/>
        </w:rPr>
        <w:t xml:space="preserve">7</w:t>
      </w:r>
      <w:r>
        <w:rPr>
          <w:rFonts w:ascii="Arial" w:eastAsia="Arial" w:hAnsi="Arial" w:cs="Arial"/>
          <w:sz w:val="16"/>
          <w:szCs w:val="16"/>
        </w:rPr>
        <w:t xml:space="preserve"> (Disclaimer of Warranties), Section </w:t>
      </w:r>
      <w:r w:rsidR="004F61A5">
        <w:rPr>
          <w:rFonts w:ascii="Arial" w:eastAsia="Arial" w:hAnsi="Arial" w:cs="Arial"/>
          <w:sz w:val="16"/>
          <w:szCs w:val="16"/>
        </w:rPr>
        <w:t xml:space="preserve">8</w:t>
      </w:r>
      <w:r>
        <w:rPr>
          <w:rFonts w:ascii="Arial" w:eastAsia="Arial" w:hAnsi="Arial" w:cs="Arial"/>
          <w:sz w:val="16"/>
          <w:szCs w:val="16"/>
        </w:rPr>
        <w:t xml:space="preserve"> (Limitation of Liability), Section </w:t>
      </w:r>
      <w:r w:rsidR="004F61A5">
        <w:rPr>
          <w:rFonts w:ascii="Arial" w:eastAsia="Arial" w:hAnsi="Arial" w:cs="Arial"/>
          <w:sz w:val="16"/>
          <w:szCs w:val="16"/>
        </w:rPr>
        <w:t xml:space="preserve">9</w:t>
      </w:r>
      <w:r>
        <w:rPr>
          <w:rFonts w:ascii="Arial" w:eastAsia="Arial" w:hAnsi="Arial" w:cs="Arial"/>
          <w:sz w:val="16"/>
          <w:szCs w:val="16"/>
        </w:rPr>
        <w:t xml:space="preserve"> (Indemnification), Section 1</w:t>
      </w:r>
      <w:r w:rsidR="004F61A5">
        <w:rPr>
          <w:rFonts w:ascii="Arial" w:eastAsia="Arial" w:hAnsi="Arial" w:cs="Arial"/>
          <w:sz w:val="16"/>
          <w:szCs w:val="16"/>
        </w:rPr>
        <w:t xml:space="preserve">0</w:t>
      </w:r>
      <w:r>
        <w:rPr>
          <w:rFonts w:ascii="Arial" w:eastAsia="Arial" w:hAnsi="Arial" w:cs="Arial"/>
          <w:sz w:val="16"/>
          <w:szCs w:val="16"/>
        </w:rPr>
        <w:t xml:space="preserve"> (Confidentiality), Section 1</w:t>
      </w:r>
      <w:r w:rsidR="004F61A5">
        <w:rPr>
          <w:rFonts w:ascii="Arial" w:eastAsia="Arial" w:hAnsi="Arial" w:cs="Arial"/>
          <w:sz w:val="16"/>
          <w:szCs w:val="16"/>
        </w:rPr>
        <w:t xml:space="preserve">1</w:t>
      </w:r>
      <w:r>
        <w:rPr>
          <w:rFonts w:ascii="Arial" w:eastAsia="Arial" w:hAnsi="Arial" w:cs="Arial"/>
          <w:sz w:val="16"/>
          <w:szCs w:val="16"/>
        </w:rPr>
        <w:t xml:space="preserve"> (Reservation of Rights), Section 1</w:t>
      </w:r>
      <w:r w:rsidR="004F61A5">
        <w:rPr>
          <w:rFonts w:ascii="Arial" w:eastAsia="Arial" w:hAnsi="Arial" w:cs="Arial"/>
          <w:sz w:val="16"/>
          <w:szCs w:val="16"/>
        </w:rPr>
        <w:t xml:space="preserve">2</w:t>
      </w:r>
      <w:r>
        <w:rPr>
          <w:rFonts w:ascii="Arial" w:eastAsia="Arial" w:hAnsi="Arial" w:cs="Arial"/>
          <w:sz w:val="16"/>
          <w:szCs w:val="16"/>
        </w:rPr>
        <w:t xml:space="preserve"> (General Terms), Section 1</w:t>
      </w:r>
      <w:r w:rsidR="004F61A5">
        <w:rPr>
          <w:rFonts w:ascii="Arial" w:eastAsia="Arial" w:hAnsi="Arial" w:cs="Arial"/>
          <w:sz w:val="16"/>
          <w:szCs w:val="16"/>
        </w:rPr>
        <w:t xml:space="preserve">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 xml:space="preserve">3</w:t>
      </w:r>
      <w:r>
        <w:rPr>
          <w:rFonts w:ascii="Arial" w:eastAsia="Arial" w:hAnsi="Arial" w:cs="Arial"/>
          <w:sz w:val="16"/>
          <w:szCs w:val="16"/>
        </w:rPr>
        <w:t xml:space="preserve"> (Privacy &amp; Security) and Section 1</w:t>
      </w:r>
      <w:r w:rsidR="004F61A5">
        <w:rPr>
          <w:rFonts w:ascii="Arial" w:eastAsia="Arial" w:hAnsi="Arial" w:cs="Arial"/>
          <w:sz w:val="16"/>
          <w:szCs w:val="16"/>
        </w:rPr>
        <w:t xml:space="preserve">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 xml:space="preserve">From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From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 xml:space="preserve">the</w:t>
      </w:r>
      <w:r>
        <w:rPr>
          <w:rFonts w:ascii="Arial" w:eastAsia="Arial" w:hAnsi="Arial" w:cs="Arial"/>
          <w:sz w:val="16"/>
          <w:szCs w:val="16"/>
        </w:rPr>
        <w:t xml:space="preserv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Provider Warranty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 xml:space="preserve">the</w:t>
      </w:r>
      <w:r>
        <w:rPr>
          <w:rFonts w:ascii="Arial" w:eastAsia="Arial" w:hAnsi="Arial" w:cs="Arial"/>
          <w:sz w:val="16"/>
          <w:szCs w:val="16"/>
        </w:rPr>
        <w:t xml:space="preserve"> warranty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 xml:space="preserve">Provider</w:t>
      </w:r>
      <w:r>
        <w:rPr>
          <w:rFonts w:ascii="Arial" w:eastAsia="Arial" w:hAnsi="Arial" w:cs="Arial"/>
          <w:sz w:val="16"/>
          <w:szCs w:val="16"/>
        </w:rPr>
        <w:t xml:space="preserve"> cannot resolve the issue,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Provider’s</w:t>
      </w:r>
      <w:r>
        <w:rPr>
          <w:rFonts w:ascii="Arial" w:eastAsia="Arial" w:hAnsi="Arial" w:cs="Arial"/>
          <w:sz w:val="16"/>
          <w:szCs w:val="16"/>
        </w:rPr>
        <w:t xml:space="preserve"> restoration obligation, and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does not meet the warrant</w:t>
      </w:r>
      <w:r w:rsidR="00B43FA8">
        <w:rPr>
          <w:rFonts w:ascii="Arial" w:eastAsia="Arial" w:hAnsi="Arial" w:cs="Arial"/>
          <w:sz w:val="16"/>
          <w:szCs w:val="16"/>
        </w:rPr>
        <w:t xml:space="preserve">y</w:t>
      </w:r>
      <w:r>
        <w:rPr>
          <w:rFonts w:ascii="Arial" w:eastAsia="Arial" w:hAnsi="Arial" w:cs="Arial"/>
          <w:sz w:val="16"/>
          <w:szCs w:val="16"/>
        </w:rPr>
        <w:t xml:space="preserve">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 xml:space="preserve">.</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 xml:space="preserve">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 xml:space="preserve">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 xml:space="preserve">8</w:t>
      </w:r>
      <w:r>
        <w:rPr>
          <w:rFonts w:ascii="Arial" w:eastAsia="Arial" w:hAnsi="Arial" w:cs="Arial"/>
          <w:b/>
          <w:sz w:val="16"/>
          <w:szCs w:val="16"/>
        </w:rPr>
        <w:t xml:space="preserve">.1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 xml:space="preserve">8</w:t>
      </w:r>
      <w:r>
        <w:rPr>
          <w:rFonts w:ascii="Arial" w:eastAsia="Arial" w:hAnsi="Arial" w:cs="Arial"/>
          <w:b/>
          <w:sz w:val="16"/>
          <w:szCs w:val="16"/>
        </w:rPr>
        <w:t xml:space="preserve">.2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49CA678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 in Section </w:t>
      </w:r>
      <w:r w:rsidR="00B43FA8">
        <w:rPr>
          <w:rFonts w:ascii="Arial" w:eastAsia="Arial" w:hAnsi="Arial" w:cs="Arial"/>
          <w:sz w:val="16"/>
          <w:szCs w:val="16"/>
        </w:rPr>
        <w:t xml:space="preserve">8</w:t>
      </w:r>
      <w:r>
        <w:rPr>
          <w:rFonts w:ascii="Arial" w:eastAsia="Arial" w:hAnsi="Arial" w:cs="Arial"/>
          <w:sz w:val="16"/>
          <w:szCs w:val="16"/>
        </w:rPr>
        <w:t xml:space="preserve">.1(a)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 xml:space="preserve">es</w:t>
      </w:r>
      <w:r>
        <w:rPr>
          <w:rFonts w:ascii="Arial" w:eastAsia="Arial" w:hAnsi="Arial" w:cs="Arial"/>
          <w:sz w:val="16"/>
          <w:szCs w:val="16"/>
        </w:rPr>
        <w:t xml:space="preserve">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w:t>
      </w:r>
      <w:r w:rsidR="00F8123A">
        <w:rPr>
          <w:rFonts w:ascii="Arial" w:eastAsia="Arial" w:hAnsi="Arial" w:cs="Arial"/>
          <w:sz w:val="16"/>
          <w:szCs w:val="16"/>
        </w:rPr>
        <w:t xml:space="preserve">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Changes to Product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required by settlement or court order, or if deemed reasonably necessary in response to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(a) obtain the right 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 xml:space="preserve">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 xml:space="preserve">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 xml:space="preserve">Customer Content</w:t>
      </w:r>
      <w:r>
        <w:rPr>
          <w:rFonts w:ascii="Arial" w:eastAsia="Arial" w:hAnsi="Arial" w:cs="Arial"/>
          <w:sz w:val="16"/>
          <w:szCs w:val="16"/>
        </w:rPr>
        <w:t xml:space="preserve">,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w:t>
      </w:r>
      <w:r w:rsidR="002418C5">
        <w:rPr>
          <w:rFonts w:ascii="Arial" w:eastAsia="Arial" w:hAnsi="Arial" w:cs="Arial"/>
          <w:sz w:val="16"/>
          <w:szCs w:val="16"/>
        </w:rPr>
        <w:t xml:space="preserve">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 xml:space="preserve">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 xml:space="preserve">0 (Confidentiality)</w:t>
      </w:r>
      <w:r>
        <w:rPr>
          <w:rFonts w:ascii="Arial" w:eastAsia="Arial" w:hAnsi="Arial" w:cs="Arial"/>
          <w:sz w:val="16"/>
          <w:szCs w:val="16"/>
        </w:rPr>
        <w:t xml:space="preserve">.</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Except for the limited rights in Section 1.</w:t>
      </w:r>
      <w:r w:rsidR="002418C5">
        <w:rPr>
          <w:rFonts w:ascii="Arial" w:eastAsia="Arial" w:hAnsi="Arial" w:cs="Arial"/>
          <w:sz w:val="16"/>
          <w:szCs w:val="16"/>
        </w:rPr>
        <w:t xml:space="preserve">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 xml:space="preserve">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 xml:space="preserve">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 xml:space="preserve">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 xml:space="preserve">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w:t>
      </w:r>
      <w:r>
        <w:rPr>
          <w:rFonts w:ascii="Arial" w:eastAsia="Arial" w:hAnsi="Arial" w:cs="Arial"/>
          <w:sz w:val="16"/>
          <w:szCs w:val="16"/>
        </w:rPr>
        <w:lastRenderedPageBreak/>
        <w:t xml:space="preserve">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w:t>
      </w:r>
      <w:r w:rsidR="002418C5">
        <w:rPr>
          <w:rFonts w:ascii="Arial" w:eastAsia="Arial" w:hAnsi="Arial" w:cs="Arial"/>
          <w:sz w:val="16"/>
          <w:szCs w:val="16"/>
        </w:rPr>
        <w:t xml:space="preserve">2</w:t>
      </w:r>
      <w:r>
        <w:rPr>
          <w:rFonts w:ascii="Arial" w:eastAsia="Arial" w:hAnsi="Arial" w:cs="Arial"/>
          <w:sz w:val="16"/>
          <w:szCs w:val="16"/>
        </w:rPr>
        <w:t xml:space="preserve">.3 (Governing Law and Chosen Courts), a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 xml:space="preserve">Products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sz w:val="16"/>
          <w:szCs w:val="16"/>
        </w:rPr>
        <w:t xml:space="preserve"> gives </w:t>
      </w:r>
      <w:r>
        <w:rPr>
          <w:rFonts w:ascii="Arial" w:eastAsia="Arial" w:hAnsi="Arial" w:cs="Arial"/>
          <w:b/>
          <w:color w:val="117086"/>
          <w:sz w:val="16"/>
          <w:szCs w:val="16"/>
        </w:rPr>
        <w:t xml:space="preserve">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 xml:space="preserve">From</w:t>
      </w:r>
      <w:proofErr w:type="gramEnd"/>
      <w:r w:rsidR="00FA2883">
        <w:rPr>
          <w:rFonts w:ascii="Arial" w:eastAsia="Arial" w:hAnsi="Arial" w:cs="Arial"/>
          <w:sz w:val="16"/>
          <w:szCs w:val="16"/>
        </w:rPr>
        <w:t xml:space="preserve"> Provider) </w:t>
      </w:r>
      <w:r>
        <w:rPr>
          <w:rFonts w:ascii="Arial" w:eastAsia="Arial" w:hAnsi="Arial" w:cs="Arial"/>
          <w:sz w:val="16"/>
          <w:szCs w:val="16"/>
        </w:rPr>
        <w:t xml:space="preserve">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 xml:space="preserve">Customer</w:t>
      </w:r>
      <w:r>
        <w:rPr>
          <w:rFonts w:ascii="Arial" w:eastAsia="Arial" w:hAnsi="Arial" w:cs="Arial"/>
          <w:sz w:val="16"/>
          <w:szCs w:val="16"/>
        </w:rPr>
        <w:t xml:space="preserve"> acknowledges that Beta Products are </w:t>
      </w:r>
      <w:r w:rsidR="003C1A33">
        <w:rPr>
          <w:rFonts w:ascii="Arial" w:eastAsia="Arial" w:hAnsi="Arial" w:cs="Arial"/>
          <w:sz w:val="16"/>
          <w:szCs w:val="16"/>
        </w:rPr>
        <w:t xml:space="preserve">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 xml:space="preserve">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Logo Rights</w:t>
      </w:r>
      <w:r>
        <w:rPr>
          <w:rFonts w:ascii="Arial" w:eastAsia="Arial" w:hAnsi="Arial" w:cs="Arial"/>
          <w:sz w:val="16"/>
          <w:szCs w:val="16"/>
        </w:rPr>
        <w:t xml:space="preserve">.</w:t>
      </w:r>
      <w:r>
        <w:rPr>
          <w:rFonts w:ascii="Arial" w:eastAsia="Arial" w:hAnsi="Arial" w:cs="Arial"/>
          <w:sz w:val="16"/>
          <w:szCs w:val="16"/>
        </w:rPr>
        <w:t xml:space="preserve"> </w:t>
      </w:r>
      <w:r w:rsidR="00EA41D4" w:rsidRPr="00EA41D4">
        <w:rPr>
          <w:rFonts w:ascii="Arial" w:eastAsia="Arial" w:hAnsi="Arial" w:cs="Arial"/>
          <w:b/>
          <w:color w:val="117086"/>
          <w:sz w:val="16"/>
          <w:szCs w:val="16"/>
        </w:rPr>
        <w:t xml:space="preserve">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 xml:space="preserve">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 xml:space="preserve">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3BA5E11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sidR="00407124">
        <w:rPr>
          <w:rFonts w:ascii="Arial" w:eastAsia="Arial" w:hAnsi="Arial" w:cs="Arial"/>
          <w:b/>
          <w:color w:val="117086"/>
          <w:sz w:val="16"/>
          <w:szCs w:val="16"/>
        </w:rPr>
        <w:t xml:space="preserve">Customer</w:t>
      </w:r>
      <w:r w:rsidR="00407124">
        <w:rPr>
          <w:rFonts w:ascii="Arial" w:eastAsia="Arial" w:hAnsi="Arial" w:cs="Arial"/>
          <w:color w:val="0432FF"/>
          <w:sz w:val="16"/>
          <w:szCs w:val="16"/>
        </w:rPr>
        <w:t xml:space="preserve"> </w:t>
      </w:r>
      <w:r w:rsidR="00407124">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R="00407124" w:rsidRPr="005D2080">
        <w:rPr>
          <w:rFonts w:ascii="Arial" w:eastAsia="Arial" w:hAnsi="Arial" w:cs="Arial"/>
          <w:b/>
          <w:color w:val="117086"/>
          <w:sz w:val="16"/>
          <w:szCs w:val="16"/>
        </w:rPr>
        <w:t xml:space="preserve">Customer</w:t>
      </w:r>
      <w:r w:rsidR="00407124"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07124" w:rsidRPr="005D2080">
        <w:rPr>
          <w:rFonts w:ascii="Arial" w:eastAsia="Arial" w:hAnsi="Arial" w:cs="Arial"/>
          <w:b/>
          <w:color w:val="117086"/>
          <w:sz w:val="16"/>
          <w:szCs w:val="16"/>
        </w:rPr>
        <w:t xml:space="preserve">Provider</w:t>
      </w:r>
      <w:r w:rsidR="00407124" w:rsidRPr="005D2080">
        <w:rPr>
          <w:rFonts w:ascii="Arial" w:eastAsia="Arial" w:hAnsi="Arial" w:cs="Arial"/>
          <w:sz w:val="16"/>
          <w:szCs w:val="16"/>
        </w:rPr>
        <w:t xml:space="preserve"> may terminate this Agreement immediately without notice or liability to comply, as determined in </w:t>
      </w:r>
      <w:r w:rsidR="00407124" w:rsidRPr="005D2080">
        <w:rPr>
          <w:rFonts w:ascii="Arial" w:eastAsia="Arial" w:hAnsi="Arial" w:cs="Arial"/>
          <w:b/>
          <w:color w:val="117086"/>
          <w:sz w:val="16"/>
          <w:szCs w:val="16"/>
        </w:rPr>
        <w:t xml:space="preserve">Provider’s</w:t>
      </w:r>
      <w:r w:rsidR="00407124"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Government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r>
        <w:rPr>
          <w:rFonts w:ascii="Arial" w:eastAsia="Arial" w:hAnsi="Arial" w:cs="Arial"/>
          <w:sz w:val="16"/>
          <w:szCs w:val="16"/>
        </w:rPr>
        <w:t xml:space="preserve">.</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 xml:space="preserve">as</w:t>
      </w:r>
      <w:r>
        <w:rPr>
          <w:rFonts w:ascii="Arial" w:eastAsia="Arial" w:hAnsi="Arial" w:cs="Arial"/>
          <w:sz w:val="16"/>
          <w:szCs w:val="16"/>
        </w:rPr>
        <w:t xml:space="preserve"> govern</w:t>
      </w:r>
      <w:r w:rsidR="00D53461">
        <w:rPr>
          <w:rFonts w:ascii="Arial" w:eastAsia="Arial" w:hAnsi="Arial" w:cs="Arial"/>
          <w:sz w:val="16"/>
          <w:szCs w:val="16"/>
        </w:rPr>
        <w:t xml:space="preserve">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Applicable Data Protection Laws</w:t>
      </w:r>
      <w:r>
        <w:rPr>
          <w:rFonts w:ascii="Arial" w:eastAsia="Arial" w:hAnsi="Arial" w:cs="Arial"/>
          <w:sz w:val="16"/>
          <w:szCs w:val="16"/>
        </w:rPr>
        <w:t xml:space="preserve">”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Beta Product</w:t>
      </w:r>
      <w:r>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Cloud Service</w:t>
      </w:r>
      <w:r>
        <w:rPr>
          <w:rFonts w:ascii="Arial" w:eastAsia="Arial" w:hAnsi="Arial" w:cs="Arial"/>
          <w:sz w:val="16"/>
          <w:szCs w:val="16"/>
        </w:rPr>
        <w:t xml:space="preserve">”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 xml:space="preserve">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 xml:space="preserve">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 xml:space="preserve">Provider</w:t>
      </w:r>
      <w:r>
        <w:rPr>
          <w:rFonts w:ascii="Arial" w:eastAsia="Arial" w:hAnsi="Arial" w:cs="Arial"/>
          <w:sz w:val="16"/>
          <w:szCs w:val="16"/>
        </w:rPr>
        <w:t xml:space="preserve">.</w:t>
      </w:r>
    </w:p>
    <w:p w14:paraId="1EC72D03" w14:textId="6C7BBD99"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Embargoed Country</w:t>
      </w:r>
      <w:r w:rsidRPr="005D2080">
        <w:rPr>
          <w:rFonts w:ascii="Arial" w:eastAsia="Arial" w:hAnsi="Arial" w:cs="Arial"/>
          <w:sz w:val="16"/>
          <w:szCs w:val="16"/>
        </w:rPr>
        <w:t xml:space="preserve">” means any country or region to or from where Applicable Laws generally restrict the export or import of goods, services, or money.</w:t>
      </w:r>
    </w:p>
    <w:p w14:paraId="0000014A" w14:textId="28CB6AA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 xml:space="preserve">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 xml:space="preserve">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 xml:space="preserve">Customer</w:t>
      </w:r>
      <w:r>
        <w:rPr>
          <w:rFonts w:ascii="Arial" w:eastAsia="Arial" w:hAnsi="Arial" w:cs="Arial"/>
          <w:sz w:val="16"/>
          <w:szCs w:val="16"/>
        </w:rPr>
        <w:t xml:space="preserve">,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GDPR</w:t>
      </w:r>
      <w:r>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High Risk Activity</w:t>
      </w:r>
      <w:r>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details about this Agreement.</w:t>
      </w:r>
    </w:p>
    <w:p w14:paraId="174678FC" w14:textId="11AAC428"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OFAC</w:t>
      </w:r>
      <w:r w:rsidRPr="005D2080">
        <w:rPr>
          <w:rFonts w:ascii="Arial" w:eastAsia="Arial" w:hAnsi="Arial" w:cs="Arial"/>
          <w:sz w:val="16"/>
          <w:szCs w:val="16"/>
        </w:rPr>
        <w:t xml:space="preserve">" means the United States Department of Treasury's Office of Foreign Assets Control.</w:t>
      </w:r>
    </w:p>
    <w:p w14:paraId="00000154" w14:textId="450621A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 xml:space="preserve">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 xml:space="preserve">Framework</w:t>
      </w:r>
      <w:r>
        <w:rPr>
          <w:rFonts w:ascii="Arial" w:eastAsia="Arial" w:hAnsi="Arial" w:cs="Arial"/>
          <w:sz w:val="16"/>
          <w:szCs w:val="16"/>
        </w:rPr>
        <w:t xml:space="preserve"> Terms</w:t>
      </w:r>
      <w:r w:rsidR="001D3E5A">
        <w:rPr>
          <w:rFonts w:ascii="Arial" w:eastAsia="Arial" w:hAnsi="Arial" w:cs="Arial"/>
          <w:sz w:val="16"/>
          <w:szCs w:val="16"/>
        </w:rPr>
        <w:t xml:space="preserve">.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 xml:space="preserve">length</w:t>
      </w:r>
      <w:r>
        <w:rPr>
          <w:rFonts w:ascii="Arial" w:eastAsia="Arial" w:hAnsi="Arial" w:cs="Arial"/>
          <w:sz w:val="16"/>
          <w:szCs w:val="16"/>
        </w:rPr>
        <w:t xml:space="preserve"> of </w:t>
      </w:r>
      <w:r w:rsidR="002F38B9">
        <w:rPr>
          <w:rFonts w:ascii="Arial" w:eastAsia="Arial" w:hAnsi="Arial" w:cs="Arial"/>
          <w:b/>
          <w:color w:val="117086"/>
          <w:sz w:val="16"/>
          <w:szCs w:val="16"/>
        </w:rPr>
        <w:t xml:space="preserve">Subscription Period</w:t>
      </w:r>
      <w:r>
        <w:rPr>
          <w:rFonts w:ascii="Arial" w:eastAsia="Arial" w:hAnsi="Arial" w:cs="Arial"/>
          <w:sz w:val="16"/>
          <w:szCs w:val="16"/>
        </w:rPr>
        <w:t xml:space="preserve">,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Personal Data</w:t>
      </w:r>
      <w:r>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Prohibited Data</w:t>
      </w:r>
      <w:r>
        <w:rPr>
          <w:rFonts w:ascii="Arial" w:eastAsia="Arial" w:hAnsi="Arial" w:cs="Arial"/>
          <w:sz w:val="16"/>
          <w:szCs w:val="16"/>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a machine or in a browser), or execute as part of the Product.</w:t>
      </w:r>
    </w:p>
    <w:p w14:paraId="0000015C" w14:textId="671B366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 xml:space="preserve">Standard Terms Version 2.</w:t>
      </w:r>
      <w:r w:rsidR="00544881">
        <w:rPr>
          <w:rFonts w:ascii="Arial" w:eastAsia="Arial" w:hAnsi="Arial" w:cs="Arial"/>
          <w:sz w:val="16"/>
          <w:szCs w:val="16"/>
        </w:rPr>
        <w:t xml:space="preserve">1</w:t>
      </w:r>
      <w:r>
        <w:rPr>
          <w:rFonts w:ascii="Arial" w:eastAsia="Arial" w:hAnsi="Arial" w:cs="Arial"/>
          <w:sz w:val="16"/>
          <w:szCs w:val="16"/>
        </w:rPr>
        <w:t xml:space="preserve">, which are posted at </w:t>
      </w:r>
      <w:hyperlink r:id="rId16" w:history="1">
        <w:r w:rsidR="00F8123A">
          <w:rPr>
            <w:rStyle w:val="Hyperlink"/>
            <w:rFonts w:ascii="Arial" w:eastAsia="Arial" w:hAnsi="Arial" w:cs="Arial"/>
            <w:color w:val="117086"/>
            <w:sz w:val="16"/>
            <w:szCs w:val="16"/>
          </w:rPr>
          <w:t xml:space="preserve">https://commonpaper.com/standards/cloud-service-agreement/2.1/</w:t>
        </w:r>
      </w:hyperlink>
      <w:r>
        <w:rPr>
          <w:rFonts w:ascii="Arial" w:eastAsia="Arial" w:hAnsi="Arial" w:cs="Arial"/>
          <w:sz w:val="16"/>
          <w:szCs w:val="16"/>
        </w:rPr>
        <w:t xml:space="preserve">.</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 xml:space="preserve">Customer’s</w:t>
      </w:r>
      <w:r>
        <w:rPr>
          <w:rFonts w:ascii="Arial" w:eastAsia="Arial" w:hAnsi="Arial" w:cs="Arial"/>
          <w:sz w:val="16"/>
          <w:szCs w:val="16"/>
        </w:rPr>
        <w:t xml:space="preserve"> behalf or through </w:t>
      </w:r>
      <w:r>
        <w:rPr>
          <w:rFonts w:ascii="Arial" w:eastAsia="Arial" w:hAnsi="Arial" w:cs="Arial"/>
          <w:b/>
          <w:color w:val="117086"/>
          <w:sz w:val="16"/>
          <w:szCs w:val="16"/>
        </w:rPr>
        <w:t xml:space="preserve">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 xml:space="preserve">Subscription Period</w:t>
      </w:r>
      <w:r>
        <w:rPr>
          <w:rFonts w:ascii="Arial" w:eastAsia="Arial" w:hAnsi="Arial" w:cs="Arial"/>
          <w:sz w:val="16"/>
          <w:szCs w:val="16"/>
        </w:rPr>
        <w:t xml:space="preserve"> or </w:t>
      </w:r>
      <w:r>
        <w:rPr>
          <w:rFonts w:ascii="Arial" w:eastAsia="Arial" w:hAnsi="Arial" w:cs="Arial"/>
          <w:b/>
          <w:color w:val="117086"/>
          <w:sz w:val="16"/>
          <w:szCs w:val="16"/>
        </w:rPr>
        <w:t xml:space="preserve">Governing Law</w:t>
      </w:r>
      <w:r>
        <w:rPr>
          <w:rFonts w:ascii="Arial" w:eastAsia="Arial" w:hAnsi="Arial" w:cs="Arial"/>
          <w:sz w:val="16"/>
          <w:szCs w:val="16"/>
        </w:rPr>
        <w:t xml:space="preserve">.</w:t>
      </w:r>
    </w:p>
    <w:sectPr w:rsidR="00490584">
      <w:headerReference w:type="default" r:id="rId17"/>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6404" w14:textId="77777777" w:rsidR="0052003B" w:rsidRDefault="0052003B">
      <w:r>
        <w:separator/>
      </w:r>
    </w:p>
  </w:endnote>
  <w:endnote w:type="continuationSeparator" w:id="0">
    <w:p w14:paraId="684EE0A4" w14:textId="77777777" w:rsidR="0052003B" w:rsidRDefault="0052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17185494"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 xml:space="preserve">(</w:t>
    </w:r>
    <w:hyperlink r:id="rId1" w:history="1">
      <w:r w:rsidR="00F8123A">
        <w:rPr>
          <w:rFonts w:ascii="Arial" w:hAnsi="Arial" w:cs="Arial"/>
          <w:color w:val="000000"/>
          <w:sz w:val="13"/>
          <w:szCs w:val="13"/>
          <w:u w:val="single"/>
        </w:rPr>
        <w:t xml:space="preserve">Version 2.1</w:t>
      </w:r>
    </w:hyperlink>
    <w:r w:rsidR="003E0CE0">
      <w:rPr>
        <w:rFonts w:ascii="Arial" w:hAnsi="Arial" w:cs="Arial"/>
        <w:color w:val="000000"/>
        <w:sz w:val="13"/>
        <w:szCs w:val="13"/>
      </w:rPr>
      <w:t xml:space="preserve">)</w:t>
    </w:r>
    <w:r>
      <w:rPr>
        <w:rFonts w:ascii="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 xml:space="preserve">CC BY 4.0</w:t>
      </w:r>
    </w:hyperlink>
    <w:r w:rsidR="003E0CE0" w:rsidRPr="002408F5">
      <w:rPr>
        <w:rFonts w:ascii="Arial" w:hAnsi="Arial"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AE26" w14:textId="77777777" w:rsidR="0052003B" w:rsidRDefault="0052003B">
      <w:r>
        <w:separator/>
      </w:r>
    </w:p>
  </w:footnote>
  <w:footnote w:type="continuationSeparator" w:id="0">
    <w:p w14:paraId="3A68CA96" w14:textId="77777777" w:rsidR="0052003B" w:rsidRDefault="0052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0D1CDA"/>
    <w:rsid w:val="000F54B3"/>
    <w:rsid w:val="00105F1D"/>
    <w:rsid w:val="00123D72"/>
    <w:rsid w:val="001657C7"/>
    <w:rsid w:val="00174DCC"/>
    <w:rsid w:val="001B7396"/>
    <w:rsid w:val="001D3E5A"/>
    <w:rsid w:val="001D779D"/>
    <w:rsid w:val="001E6274"/>
    <w:rsid w:val="001F6623"/>
    <w:rsid w:val="002072E3"/>
    <w:rsid w:val="002418C5"/>
    <w:rsid w:val="00246BD1"/>
    <w:rsid w:val="00250ACB"/>
    <w:rsid w:val="00262579"/>
    <w:rsid w:val="002662F8"/>
    <w:rsid w:val="002742F1"/>
    <w:rsid w:val="002B532B"/>
    <w:rsid w:val="002F38B9"/>
    <w:rsid w:val="00302854"/>
    <w:rsid w:val="00332A83"/>
    <w:rsid w:val="00337CB1"/>
    <w:rsid w:val="00340602"/>
    <w:rsid w:val="0035351E"/>
    <w:rsid w:val="00357ADF"/>
    <w:rsid w:val="003957C7"/>
    <w:rsid w:val="003957F4"/>
    <w:rsid w:val="003B7301"/>
    <w:rsid w:val="003C1A33"/>
    <w:rsid w:val="003C6F55"/>
    <w:rsid w:val="003D28CB"/>
    <w:rsid w:val="003E0CE0"/>
    <w:rsid w:val="00401A88"/>
    <w:rsid w:val="00405BE8"/>
    <w:rsid w:val="00407124"/>
    <w:rsid w:val="0042253C"/>
    <w:rsid w:val="004620DF"/>
    <w:rsid w:val="00490584"/>
    <w:rsid w:val="004D29BB"/>
    <w:rsid w:val="004F5B46"/>
    <w:rsid w:val="004F61A5"/>
    <w:rsid w:val="00501EA0"/>
    <w:rsid w:val="0052003B"/>
    <w:rsid w:val="00521B55"/>
    <w:rsid w:val="00544881"/>
    <w:rsid w:val="00561454"/>
    <w:rsid w:val="00565895"/>
    <w:rsid w:val="00576C44"/>
    <w:rsid w:val="005927AD"/>
    <w:rsid w:val="00593E84"/>
    <w:rsid w:val="005C321A"/>
    <w:rsid w:val="005E17B0"/>
    <w:rsid w:val="005E4313"/>
    <w:rsid w:val="005E45C4"/>
    <w:rsid w:val="005E63DA"/>
    <w:rsid w:val="005F0B4A"/>
    <w:rsid w:val="00602530"/>
    <w:rsid w:val="0062184C"/>
    <w:rsid w:val="006232F9"/>
    <w:rsid w:val="00631FBD"/>
    <w:rsid w:val="00655748"/>
    <w:rsid w:val="0066134E"/>
    <w:rsid w:val="00667F7B"/>
    <w:rsid w:val="00670A1A"/>
    <w:rsid w:val="00674AC9"/>
    <w:rsid w:val="006856B7"/>
    <w:rsid w:val="00686534"/>
    <w:rsid w:val="00690EF7"/>
    <w:rsid w:val="006B449C"/>
    <w:rsid w:val="006D7F11"/>
    <w:rsid w:val="006E6988"/>
    <w:rsid w:val="007267F8"/>
    <w:rsid w:val="00740660"/>
    <w:rsid w:val="0077139B"/>
    <w:rsid w:val="00776715"/>
    <w:rsid w:val="007939B4"/>
    <w:rsid w:val="00797D00"/>
    <w:rsid w:val="007A1E95"/>
    <w:rsid w:val="007E0FC5"/>
    <w:rsid w:val="008159A7"/>
    <w:rsid w:val="008545E0"/>
    <w:rsid w:val="008C08BD"/>
    <w:rsid w:val="008C46F9"/>
    <w:rsid w:val="008D3A83"/>
    <w:rsid w:val="008E5369"/>
    <w:rsid w:val="008F38AB"/>
    <w:rsid w:val="00933D95"/>
    <w:rsid w:val="00951626"/>
    <w:rsid w:val="009761DA"/>
    <w:rsid w:val="0098562F"/>
    <w:rsid w:val="009A0966"/>
    <w:rsid w:val="009A7562"/>
    <w:rsid w:val="009B51DD"/>
    <w:rsid w:val="009D2D51"/>
    <w:rsid w:val="009E66B1"/>
    <w:rsid w:val="009F09E8"/>
    <w:rsid w:val="009F4A1C"/>
    <w:rsid w:val="00A02070"/>
    <w:rsid w:val="00A13705"/>
    <w:rsid w:val="00A222BC"/>
    <w:rsid w:val="00A72EB3"/>
    <w:rsid w:val="00A83745"/>
    <w:rsid w:val="00A8591B"/>
    <w:rsid w:val="00A942D7"/>
    <w:rsid w:val="00AA3C1B"/>
    <w:rsid w:val="00AA6417"/>
    <w:rsid w:val="00AB4F83"/>
    <w:rsid w:val="00AB7BF0"/>
    <w:rsid w:val="00AC5DD9"/>
    <w:rsid w:val="00AC6F25"/>
    <w:rsid w:val="00B04F9B"/>
    <w:rsid w:val="00B129A9"/>
    <w:rsid w:val="00B278B3"/>
    <w:rsid w:val="00B33956"/>
    <w:rsid w:val="00B43FA8"/>
    <w:rsid w:val="00B604E4"/>
    <w:rsid w:val="00BB3202"/>
    <w:rsid w:val="00BC198D"/>
    <w:rsid w:val="00BC31F3"/>
    <w:rsid w:val="00BC47F6"/>
    <w:rsid w:val="00BD28CF"/>
    <w:rsid w:val="00BF52C6"/>
    <w:rsid w:val="00BF66FC"/>
    <w:rsid w:val="00C148CF"/>
    <w:rsid w:val="00C154F7"/>
    <w:rsid w:val="00C37170"/>
    <w:rsid w:val="00C45DF3"/>
    <w:rsid w:val="00C94C23"/>
    <w:rsid w:val="00CA4727"/>
    <w:rsid w:val="00CB214F"/>
    <w:rsid w:val="00CD1D49"/>
    <w:rsid w:val="00CE1A1B"/>
    <w:rsid w:val="00CF60B8"/>
    <w:rsid w:val="00D04ABC"/>
    <w:rsid w:val="00D14E3E"/>
    <w:rsid w:val="00D21388"/>
    <w:rsid w:val="00D52B91"/>
    <w:rsid w:val="00D53461"/>
    <w:rsid w:val="00D6642E"/>
    <w:rsid w:val="00D72E76"/>
    <w:rsid w:val="00D92ED5"/>
    <w:rsid w:val="00DA0931"/>
    <w:rsid w:val="00DA56E1"/>
    <w:rsid w:val="00DC4BCE"/>
    <w:rsid w:val="00DD6CCB"/>
    <w:rsid w:val="00DE35EB"/>
    <w:rsid w:val="00DE4384"/>
    <w:rsid w:val="00DF1965"/>
    <w:rsid w:val="00E2405A"/>
    <w:rsid w:val="00E316B7"/>
    <w:rsid w:val="00E44876"/>
    <w:rsid w:val="00E74038"/>
    <w:rsid w:val="00E92F43"/>
    <w:rsid w:val="00EA41D4"/>
    <w:rsid w:val="00EA6EEA"/>
    <w:rsid w:val="00EB2440"/>
    <w:rsid w:val="00EC24BE"/>
    <w:rsid w:val="00ED4F13"/>
    <w:rsid w:val="00EE04A7"/>
    <w:rsid w:val="00F136D1"/>
    <w:rsid w:val="00F21FF4"/>
    <w:rsid w:val="00F40197"/>
    <w:rsid w:val="00F410AA"/>
    <w:rsid w:val="00F8123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paper.com/standards/cloud-service-agreement/2.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ommonpaper.com/standards/cloud-service-agreement/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29</cp:revision>
  <dcterms:created xsi:type="dcterms:W3CDTF">2023-10-02T17:03:00Z</dcterms:created>
  <dcterms:modified xsi:type="dcterms:W3CDTF">2024-11-04T20:11:00Z</dcterms:modified>
</cp:coreProperties>
</file>