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Alaska</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Covenant Relationship Type</w:t>
            </w:r>
          </w:p>
        </w:tc>
        <w:tc>
          <w:tcPr>
            <w:tcW w:w="6480" w:type="dxa"/>
            <w:tcMar>
              <w:top w:w="60" w:type="dxa"/>
              <w:left w:w="0" w:type="dxa"/>
              <w:bottom w:w="60" w:type="dxa"/>
              <w:right w:w="0" w:type="dxa"/>
            </w:tcMar>
          </w:tcPr>
          <w:p>
            <w:r>
              <w:rPr>
                <w:rFonts w:ascii="Arial" w:hAnsi="Arial" w:cs="Arial"/>
                <w:color w:val="1D2021"/>
                <w:sz w:val="22"/>
                <w:szCs w:val="22"/>
              </w:rPr>
              <w:t xml:space="preserve">employment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Employer procured at its own expense and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Alaska Uniform Trade Secrets Act, AS 45.50.940.</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broader than is reasonably necessary for that protection. The parties acknowledge that each covenant is meant to guard Employer's Confidential Information, trade secrets, and customer goodwill and not to eliminate ordinary competition, and that each restraint is intended to be no broader than reasonably necessary in duration, geographic scope, and activity to protect the interest at stake.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the consideration stated in it, which may include initial or continued employment, access to Confidential Information and customer relationships, training, compensation, a raise, or a bonus. If this agreement is signed at the outset of employment, the offer and commencement of employment is the consideration.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The parties intend that these return, deletion, and certification mechanics support Employer's protection of its Confidential Information and trade secrets.</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the information and customers Employer procured at its own expense; it reaches only Covered Customers with whom Employee had material contact and leaves Employee free to compete generally. This covenant does not apply where Employee had no access to Confidential Information relating to the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does not prohibit Employee from practicing Employee's specialty. It reaches only Covered Customers with whom Employee had material contact and to whom Employee had access to Confidential Information.</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is limited to those named competitors and their businesses.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restriction primarily targets active or material ownership in private competitors and is drawn no broader than necessary to protect Employer's Protected Interests. Passive Public Holdings are permitted.</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Where the covenant relationship type in Cover Terms is a sale of a business, Employee must not compete with the purchased business during the Restricted Period within the Restricted Territory in a manner that impairs the goodwill the buyer purchased. This restriction does not prohibit Employee from practicing a profession in any capacity.</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Any covenant in this agreement restraining Employee from the practice of a health-care profession is limited to the Restricted Territory and Restricted Period stated in Cover Terms. The covenant does not restrict work where doing so would materially reduce access to free or low-cost care for a population in need.</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subject to any maximum period permitted by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Any covenant tied to a business sale is read together with the Sale-of-Business Covenants section.</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whether written or oral. No prior or contemporaneous oral promise or side agreement on this subject is part of the parties' bargain or enforceable against either party.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