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The dates anchor the timeline every restraint runs on: when each restricted period starts and ends, and which window of customer contact the covered-customer look-back measures.]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Nebraska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Employee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Covered Customer Period</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 Broad definitions that reach beyond the customers the worker actually served are high risk under Nebraska's customer-scope rule, and breadth added here cannot be trimmed by a court later.]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Passive Public Holdings Threshold</w:t>
            </w:r>
          </w:p>
        </w:tc>
        <w:tc>
          <w:tcPr>
            <w:tcW w:w="6480" w:type="dxa"/>
            <w:tcMar>
              <w:top w:w="60" w:type="dxa"/>
              <w:left w:w="0" w:type="dxa"/>
              <w:bottom w:w="60" w:type="dxa"/>
              <w:right w:w="0" w:type="dxa"/>
            </w:tcMar>
          </w:tcPr>
          <w:p>
            <w:r>
              <w:rPr>
                <w:rFonts w:ascii="Arial" w:hAnsi="Arial" w:cs="Arial"/>
                <w:i/>
                <w:iCs/>
                <w:color w:val="494A4B"/>
                <w:sz w:val="21"/>
                <w:szCs w:val="21"/>
              </w:rPr>
              <w:t xml:space="preserve">five percent</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and excluding the general knowledge, skill, and experience Employee acquired during employment.</w:t>
      </w:r>
    </w:p>
    <w:p>
      <w:pPr>
        <w:pStyle w:val="OABody"/>
        <w:numPr>
          <w:ilvl w:val="1"/>
          <w:numId w:val="1"/>
        </w:numPr>
        <w:spacing w:before="0" w:after="120" w:line="340" w:lineRule="auto"/>
      </w:pPr>
      <w:r>
        <w:rPr>
          <w:b/>
          <w:bCs/>
          <w:color w:val="117086"/>
        </w:rPr>
        <w:t xml:space="preserve">“Covered Customers”</w:t>
      </w:r>
      <w:r>
        <w:t xml:space="preserve"> means clients and accounts of Employer with whom Employee actually did business and had personal contact during the </w:t>
      </w:r>
      <w:r>
        <w:rPr>
          <w:b w:val="0"/>
          <w:bCs w:val="0"/>
        </w:rPr>
        <w:t xml:space="preserve">12 months</w:t>
      </w:r>
      <w:r>
        <w:t xml:space="preserve"> before termination of employment. This definition does not reach clients or accounts the Employee did not personally serve, and it does not reach prospective customers.</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Confidential Information, Trade Secrets, and goodwill in the customer relationships Employee personally served.</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has the meaning given in the Nebraska Trade Secrets Act, Neb. Rev. Stat. § 87-502(4).</w:t>
      </w:r>
    </w:p>
    <w:p>
      <w:pPr>
        <w:pStyle w:val="OABody"/>
        <w:keepNext/>
        <w:numPr>
          <w:ilvl w:val="0"/>
          <w:numId w:val="1"/>
        </w:numPr>
        <w:spacing w:before="320" w:after="120" w:line="340" w:lineRule="auto"/>
        <w:jc w:val="left"/>
      </w:pPr>
      <w:r>
        <w:rPr>
          <w:b/>
          <w:bCs/>
        </w:rPr>
        <w:t xml:space="preserve">Recitals and Protectable Interests</w:t>
      </w:r>
    </w:p>
    <w:p>
      <w:pPr>
        <w:pStyle w:val="OABody"/>
        <w:spacing w:before="0" w:after="120" w:line="340" w:lineRule="auto"/>
        <w:ind w:left="720"/>
      </w:pPr>
      <w:r>
        <w:t xml:space="preserve">Employer and Employee acknowledge that each restrictive covenant in this agreement is intended to protect one or more of Employer's Protected Interests and to impose no restraint greater than is reasonably necessary for that protection. The parties acknowledge that each covenant is meant to guard Employer's Confidential Information, trade secrets, and goodwill in the customer relationships Employee personally served — not to eliminate ordinary competition — and that Employer would not provide Employee with access to these Protected Interests absent the protections in this agreement. Each covenant is intended to be reasonable and no greater than necessary as written, and to stand on its own.</w:t>
      </w:r>
    </w:p>
    <w:p>
      <w:pPr>
        <w:pStyle w:val="OABody"/>
        <w:keepNext/>
        <w:numPr>
          <w:ilvl w:val="0"/>
          <w:numId w:val="1"/>
        </w:numPr>
        <w:spacing w:before="320" w:after="120" w:line="340" w:lineRule="auto"/>
        <w:jc w:val="left"/>
      </w:pPr>
      <w:r>
        <w:rPr>
          <w:b/>
          <w:bCs/>
        </w:rPr>
        <w:t xml:space="preserve">Timing, Consideration, and Employee Acknowledgements</w:t>
      </w:r>
    </w:p>
    <w:p>
      <w:pPr>
        <w:pStyle w:val="OABody"/>
        <w:spacing w:before="0" w:after="120" w:line="340" w:lineRule="auto"/>
        <w:ind w:left="720"/>
      </w:pPr>
      <w:r>
        <w:t xml:space="preserve">Employee acknowledges that this agreement is supported by adequate consideration and that Employee has had the opportunity to consult with independent legal counsel before signing this agreement.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for as long as the information remains a trade secret. Employee's obligations regarding other Confidential Information continue for the period specified in Cover Terms. This confidentiality obligation is intended to operate alongside, and independent of, any restrictive covenant, and does not restrict Employee's use of the general knowledge, skill, and experience Employee acquired during employment.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specified in Cover Terms for Employee Non-Solicitation,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 This covenant reaches only Covered Employees during the Restricted Period, no broader than necessary to protect Employer's workforce stability and goodwill.</w:t>
      </w:r>
    </w:p>
    <w:p>
      <w:pPr>
        <w:pStyle w:val="OABody"/>
        <w:keepNext/>
        <w:numPr>
          <w:ilvl w:val="0"/>
          <w:numId w:val="1"/>
        </w:numPr>
        <w:spacing w:before="320" w:after="120" w:line="340" w:lineRule="auto"/>
        <w:jc w:val="left"/>
      </w:pPr>
      <w:r>
        <w:rPr>
          <w:b/>
          <w:bCs/>
        </w:rPr>
        <w:t xml:space="preserve">Non-Solicitation of Personally Served Customers</w:t>
      </w:r>
    </w:p>
    <w:p>
      <w:pPr>
        <w:pStyle w:val="OABody"/>
        <w:spacing w:before="0" w:after="120" w:line="340" w:lineRule="auto"/>
        <w:ind w:left="720"/>
      </w:pPr>
      <w:r>
        <w:t xml:space="preserve">During the Restricted Period specified in Cover Terms for Customer Non-Solicitation, Employee must not Solicit the business of any Covered Customer. This covenant applies only to clients and accounts Employee actually did business with and personally contacted, and does not apply to prospective customers or clients Employee never personally served.</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specified in Cover Terms for No Business with Covered Customers, Employee must not accept, service, or do business with any Covered Customer, regardless of whether Employee or the Covered Customer first initiated contact. This restriction applies only to clients and accounts with which Employee actually did business and had personal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specified in Cover Terms for Non-Competition, Employee must not, on behalf of a Competitive Business, solicit, work for, service, or do business with any Covered Customer. This covenant applies only to customers Employee personally served. If Employer has identified specific competitors in Cover Terms under Specified Competitors, this covenant applies only to Employee's activities on behalf of those named competitors.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specified in Cover Terms for Non-Investment, Employee must not acquire or hold any active ownership interest in, serve as a director, officer, manager, or advisor to, or have material economic participation in any Competitive Business insofar as that role would enable Employee to solicit, service, or do business with a Covered Customer. Passive Public Holdings are permitted.</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 including rights protected under Section 7 of the National Labor Relations Act.</w:t>
      </w:r>
    </w:p>
    <w:p>
      <w:pPr>
        <w:pStyle w:val="OABody"/>
        <w:keepNext/>
        <w:numPr>
          <w:ilvl w:val="0"/>
          <w:numId w:val="1"/>
        </w:numPr>
        <w:spacing w:before="320" w:after="120" w:line="340" w:lineRule="auto"/>
        <w:jc w:val="left"/>
      </w:pPr>
      <w:r>
        <w:rPr>
          <w:b/>
          <w:bCs/>
        </w:rPr>
        <w:t xml:space="preserve">Physician and Health Care Practitioner Covenants</w:t>
      </w:r>
    </w:p>
    <w:p>
      <w:pPr>
        <w:pStyle w:val="OABody"/>
        <w:spacing w:before="0" w:after="120" w:line="340" w:lineRule="auto"/>
        <w:ind w:left="720"/>
      </w:pPr>
      <w:r>
        <w:t xml:space="preserve">If Employee is a physician or other health care practitioner, any covenant in this agreement restraining Employee applies only to patients Employee personally served and does not prohibit patients from choosing a provider or obtaining continuity of care.</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 including any covenant from a prior employer.</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Any such notice must be limited to the covenants as written and to Covered Customers Employee personally served.</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the Restricted Period for that covenant is extended by one day for each day of the breach, up to a maximum extension equal to the original Restricted Period.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Employer may seek injunctive or other equitable relief in addition to any other remedies available at law. Each party bears its own attorney's fees and costs unless applicable law or a court order provides otherwise.</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Each restrictive covenant in this agreement is a separate, self-contained unit with its own scope, duration, and survival. Each covenant is scoped to the customers Employee personally served, is independently enforceable as written, and can fall alone without affecting the remaining covenants.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for that covenant, on its own definite schedule and is read on its own.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Any successor's right to enforce a covenant is no greater than Employer's.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Any amendment widening a covenant must state the changed covenant, its effective date, and the supporting consideration.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(Nebraska)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(Nebraska)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(Nebraska)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