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Ohio</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Ohio Uniform Trade Secrets Act, Ohio Rev. Code § 1333.61(D).</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Employer's Confidential Information, trade secrets, customer goodwill, and other Protected Interests. Employer would not provide Employee with access to these Protected Interests absent the protections in this agreement. The parties acknowledge that each covenant is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adequate consideration. If Employee is an existing at-will employee, Employer's continuation of Employee's at-will employment is exchanged for Employee's assent to the covenants. If this agreement is signed at the outset of employment, the offer and commencement of employment is the consideration. Employee acknowledges having had the opportunity to consult with independent legal counsel before signing this agreement. Employee acknowledges that the restrictions in this agreement are reasonable and appropriate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with whom Employee had material contact and is no broader than necessary to protect Employer's goodwill in its customer relationships. This covenant is directed at Employer's customer-goodwill interest and operates together with the confidentiality and trade-secret protections in this agreement.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whether Employee or the Covered Customer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Employer has identified specific competitors in Cover Terms under Specified Competitors, this covenant applies only to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any covenant restraining Employee from practicing medicine applies only during the Restricted Period and within the Restricted Territory stated in Cover Terms. No covenant prohibits a patient from choosing a provider or obtaining continuity of care.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(Ohio)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(Ohio)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(Ohio)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