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Oklahoma's void rule for employee non-competes does not turn on a date floor, but a stated effective date fixes when the surviving covenants begin and anchors any consideration analysis for a covenant signed after employment began.]</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Oklahoma</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courts located in Oklahoma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only established customers of Employer from whom Employee solicited, with whom Employee had material contact, or for whom Employee had responsibility during the </w:t>
      </w:r>
      <w:r>
        <w:rPr>
          <w:b w:val="0"/>
          <w:bCs w:val="0"/>
        </w:rPr>
        <w:t xml:space="preserve">12 months</w:t>
      </w:r>
      <w:r>
        <w:t xml:space="preserve"> before termination of employment. Covered Customers do not include prospective customers or former customers.</w:t>
      </w:r>
    </w:p>
    <w:p>
      <w:pPr>
        <w:pStyle w:val="OABody"/>
        <w:numPr>
          <w:ilvl w:val="1"/>
          <w:numId w:val="1"/>
        </w:numPr>
        <w:spacing w:before="0" w:after="120" w:line="340" w:lineRule="auto"/>
      </w:pPr>
      <w:r>
        <w:rPr>
          <w:b/>
          <w:bCs/>
          <w:color w:val="117086"/>
        </w:rPr>
        <w:t xml:space="preserve">“Covered Employees”</w:t>
      </w:r>
      <w:r>
        <w:t xml:space="preserve"> means those employees and independent contractors of Employer with whom Employee worked, or whom Employee supervised or managed, during the </w:t>
      </w:r>
      <w:r>
        <w:rPr>
          <w:b w:val="0"/>
          <w:bCs w:val="0"/>
        </w:rPr>
        <w:t xml:space="preserve">12 months</w:t>
      </w:r>
      <w:r>
        <w:t xml:space="preserve"> before termination of employment. This defined class is bounded to colleagues Employee actually worked with rather than Employer's workforce generally.</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legally protected business information, and Employer's relationships with its established Covered Customers and its workforce.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“Direct Solicitation”</w:t>
      </w:r>
      <w:r>
        <w:t xml:space="preserve"> means for Employee personally to initiate contact with, approach, induce, or encourage a Covered Customer for the purpose of selling to that Covered Customer goods or services, or a combination of goods and services, of the kind Employer provides, and thereby diverting that customer's business away from Employer. Direct Solicitation does not include indirect solicitation, passively receiving or responding to an inquiry that Employee did not initiate, responding to a general advertisement or an unsolicited approach, or continuing to serve a Covered Customer who follows Employee without any initiating contact by Employee.</w:t>
      </w:r>
    </w:p>
    <w:p>
      <w:pPr>
        <w:pStyle w:val="OABody"/>
        <w:numPr>
          <w:ilvl w:val="1"/>
          <w:numId w:val="1"/>
        </w:numPr>
        <w:spacing w:before="0" w:after="120" w:line="340" w:lineRule="auto"/>
      </w:pPr>
      <w:r>
        <w:rPr>
          <w:b/>
          <w:bCs/>
          <w:color w:val="117086"/>
        </w:rPr>
        <w:t xml:space="preserve">“Solicit Employees”</w:t>
      </w:r>
      <w:r>
        <w:t xml:space="preserve"> means for Employee, directly or indirectly, actively or inactively, to solicit, recruit, or induce a Covered Employee to leave Employer and to become an employee or independent contractor of another person or business. Solicit Employees does not include hiring a Covered Employee who applies on the Covered Employee's own initiative without any solicitation by Employee.</w:t>
      </w:r>
    </w:p>
    <w:p>
      <w:pPr>
        <w:pStyle w:val="OABody"/>
        <w:numPr>
          <w:ilvl w:val="1"/>
          <w:numId w:val="1"/>
        </w:numPr>
        <w:spacing w:before="0" w:after="120" w:line="340" w:lineRule="auto"/>
      </w:pPr>
      <w:r>
        <w:rPr>
          <w:b/>
          <w:bCs/>
          <w:color w:val="117086"/>
        </w:rPr>
        <w:t xml:space="preserve">“Trade Secrets”</w:t>
      </w:r>
      <w:r>
        <w:t xml:space="preserve"> means information that qualifies for protection as a trade secret under applicable law, including by the Oklahoma Uniform Trade Secrets Act, information that derives independent economic value, actual or potential,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confidentiality, company-property, non-disparagement, and non-solicitation obligations in this agreement protect Employer's Protected Interests. Nothing in the customer or employee non-solicitation covenants bars Employee from working for a competitor or engaging in the same or a similar business as Employer. This agreement does not impose a covenant not to compete. This agreement is effective as of the Effective Date listed in Cover Terms. If Employee signs this agreement after Employee's employment with Employer has begun, Employer agrees to provide Employee fresh and identifiable consideration beyond continued employment, as recited or referenced in Cover Terms or in a separate writing.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as reflected in the Trade Secrets Duration in Cover Terms. Employee's obligations regarding other Confidential Information continue for the Other Confidential Information Duration specified in Cover Terms. These confidentiality and trade-secret protections must not be applied so broadly that observing them would effectively bar Employee from practicing Employee's occupation or working for another employer.</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specified in Cover Terms for Customer Non-Solicitation, Employee must not engage in Direct Solicitation of any Covered Customer. This covenant does not prohibit Employee from working for a competitor, competing with Employer generally, or doing business with a Covered Customer who approaches Employee without any Direct Solicitation by Employee.</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Employees as that term is defined. This covenant does not prohibit Employee from providing a professional reference on request, hiring a Covered Employee who applies on the Covered Employee's own initiative without solicitation by Employee, or working for a competitor.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as protected by Section 7 of the National Labor Relations Act, 29 U.S.C. § 157,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 including any restrictive covenant from a prior relationship, before Employee's first contact with any Covered Customer.</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non-disparagement, customer non-solicitation, and employee anti-raiding obligations under this agreement to any prospective employer or business associate of Employee if Employer has a reasonable belief that Employee may breach those obligations. Any such disclosure is limited to the covenants that survive under Oklahoma law and does not extend to any covenant not to compete, which this agreement does not contain.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and any other remedies available under applicable law. If a party prevails in an action to enforce a lawful obligation under this agreement, the non-prevailing party must reimburse the prevailing party's reasonable attorney's fees and costs to the extent permitted by applicable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Nothing survives that this agreement does not lawfully contain, including any covenant not to compete.</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Assignment does not expand the scope or duration of any covenant.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Any dispute arising under or relating to this agreement is subject to the venue listed in Cover Terms.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whether written or verbal.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(Oklahoma)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(Oklahoma)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(Oklahoma)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