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Vermont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and Employer's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 Each covenant is limited to the time, territory, and scope stated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supported by Employee's continued employment or, if signed at the outset of employment, Employer's offer of employment.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goodwill in its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regardless of who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Specified Competitors are listed in Cover Terms, Competitive Business is limited to those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No covenant in this agreement restricts a licensed healthcare professional from practicing beyond the Restricted Period or outside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the breach continues. The extension may not exceed the number of days during which the breach continued.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any remedy available under applicable trade-secret law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covenant's duration is stated in Cover Terms, and no covenant is intended to revive after its stated term has run.</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Employer may assign this agreement to a successor in connection with a sale of its business.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This agreement does not impose a covenant not to compete as a condition of a barbering or cosmetology school's training for licensure, and it does not restrict a lawyer's right to practice after termination of the relationship except as to benefits upon retirement, nor make any restriction on a lawyer's right to practice part of the settlement of a client controversy.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